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6"/>
          <w:szCs w:val="36"/>
          <w:highlight w:val="yellow"/>
        </w:rPr>
      </w:pPr>
    </w:p>
    <w:p>
      <w:pPr>
        <w:rPr>
          <w:rFonts w:eastAsia="仿宋_GB2312"/>
          <w:sz w:val="36"/>
          <w:szCs w:val="36"/>
          <w:highlight w:val="yellow"/>
        </w:rPr>
      </w:pPr>
    </w:p>
    <w:p>
      <w:pPr>
        <w:rPr>
          <w:rFonts w:eastAsia="仿宋_GB2312"/>
          <w:sz w:val="36"/>
          <w:szCs w:val="36"/>
        </w:rPr>
      </w:pPr>
    </w:p>
    <w:p>
      <w:pPr>
        <w:rPr>
          <w:rFonts w:eastAsia="仿宋_GB2312"/>
          <w:sz w:val="36"/>
          <w:szCs w:val="36"/>
        </w:rPr>
      </w:pPr>
    </w:p>
    <w:p>
      <w:pPr>
        <w:rPr>
          <w:rFonts w:eastAsia="仿宋_GB2312"/>
          <w:sz w:val="36"/>
          <w:szCs w:val="36"/>
        </w:rPr>
      </w:pPr>
    </w:p>
    <w:p>
      <w:pPr>
        <w:adjustRightInd w:val="0"/>
        <w:snapToGrid w:val="0"/>
        <w:jc w:val="center"/>
        <w:outlineLvl w:val="0"/>
        <w:rPr>
          <w:rFonts w:eastAsia="方正小标宋_GBK"/>
          <w:bCs/>
          <w:sz w:val="72"/>
          <w:szCs w:val="72"/>
        </w:rPr>
      </w:pPr>
      <w:bookmarkStart w:id="0" w:name="_Toc3808"/>
      <w:bookmarkStart w:id="1" w:name="_Toc1188"/>
      <w:r>
        <w:rPr>
          <w:rFonts w:eastAsia="方正小标宋_GBK"/>
          <w:bCs/>
          <w:sz w:val="72"/>
          <w:szCs w:val="72"/>
        </w:rPr>
        <w:t>建设项目环境影响报告表</w:t>
      </w:r>
      <w:bookmarkEnd w:id="0"/>
      <w:bookmarkEnd w:id="1"/>
    </w:p>
    <w:p>
      <w:pPr>
        <w:adjustRightInd w:val="0"/>
        <w:snapToGrid w:val="0"/>
        <w:spacing w:before="192" w:beforeLines="80"/>
        <w:jc w:val="center"/>
        <w:rPr>
          <w:rFonts w:eastAsia="楷体_GB2312"/>
          <w:bCs/>
          <w:sz w:val="48"/>
          <w:szCs w:val="48"/>
        </w:rPr>
      </w:pPr>
      <w:r>
        <w:rPr>
          <w:rFonts w:eastAsia="楷体_GB2312"/>
          <w:bCs/>
          <w:sz w:val="48"/>
          <w:szCs w:val="48"/>
        </w:rPr>
        <w:t>（污染影响类）</w:t>
      </w:r>
    </w:p>
    <w:p>
      <w:pPr>
        <w:adjustRightInd w:val="0"/>
        <w:snapToGrid w:val="0"/>
        <w:spacing w:line="288" w:lineRule="auto"/>
        <w:jc w:val="center"/>
        <w:rPr>
          <w:rFonts w:eastAsia="华文仿宋"/>
          <w:kern w:val="44"/>
          <w:sz w:val="44"/>
          <w:szCs w:val="44"/>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adjustRightInd w:val="0"/>
        <w:snapToGrid w:val="0"/>
        <w:spacing w:line="288" w:lineRule="auto"/>
        <w:ind w:left="2159" w:leftChars="171" w:hanging="1800" w:hangingChars="500"/>
        <w:rPr>
          <w:rFonts w:eastAsia="仿宋_GB2312"/>
          <w:sz w:val="36"/>
          <w:szCs w:val="36"/>
          <w:u w:val="single"/>
        </w:rPr>
      </w:pPr>
      <w:r>
        <w:rPr>
          <w:rFonts w:eastAsia="仿宋_GB2312"/>
          <w:sz w:val="36"/>
          <w:szCs w:val="36"/>
        </w:rPr>
        <w:t>项目名称：</w:t>
      </w:r>
      <w:r>
        <w:rPr>
          <w:rFonts w:hint="eastAsia" w:eastAsia="仿宋_GB2312"/>
          <w:sz w:val="36"/>
          <w:szCs w:val="36"/>
          <w:u w:val="single"/>
        </w:rPr>
        <w:t>赛晶（江苏）视觉技术有限公司年产工业相机、人脸识别终端及智能机器人感知模组200万台新建项目</w:t>
      </w:r>
    </w:p>
    <w:p>
      <w:pPr>
        <w:adjustRightInd w:val="0"/>
        <w:snapToGrid w:val="0"/>
        <w:spacing w:line="288" w:lineRule="auto"/>
        <w:ind w:firstLine="360" w:firstLineChars="100"/>
        <w:rPr>
          <w:rFonts w:eastAsia="仿宋_GB2312"/>
          <w:sz w:val="36"/>
          <w:szCs w:val="36"/>
          <w:u w:val="single"/>
        </w:rPr>
      </w:pPr>
      <w:r>
        <w:rPr>
          <w:rFonts w:eastAsia="仿宋_GB2312"/>
          <w:sz w:val="36"/>
          <w:szCs w:val="36"/>
        </w:rPr>
        <w:t>建设单位（盖章）：</w:t>
      </w:r>
      <w:r>
        <w:rPr>
          <w:rFonts w:eastAsia="仿宋_GB2312"/>
          <w:sz w:val="36"/>
          <w:szCs w:val="36"/>
          <w:u w:val="single"/>
        </w:rPr>
        <w:t xml:space="preserve">  </w:t>
      </w:r>
      <w:r>
        <w:rPr>
          <w:rFonts w:hint="eastAsia" w:eastAsia="仿宋_GB2312"/>
          <w:sz w:val="36"/>
          <w:szCs w:val="36"/>
          <w:u w:val="single"/>
        </w:rPr>
        <w:t>赛晶（江苏）视觉技术有限公司</w:t>
      </w:r>
      <w:r>
        <w:rPr>
          <w:rFonts w:eastAsia="仿宋_GB2312"/>
          <w:sz w:val="36"/>
          <w:szCs w:val="36"/>
          <w:u w:val="single"/>
        </w:rPr>
        <w:t xml:space="preserve">        </w:t>
      </w:r>
    </w:p>
    <w:p>
      <w:pPr>
        <w:adjustRightInd w:val="0"/>
        <w:snapToGrid w:val="0"/>
        <w:spacing w:line="288" w:lineRule="auto"/>
        <w:ind w:firstLine="360" w:firstLineChars="100"/>
        <w:rPr>
          <w:rFonts w:eastAsia="仿宋_GB2312"/>
          <w:sz w:val="36"/>
          <w:szCs w:val="36"/>
          <w:u w:val="single"/>
        </w:rPr>
      </w:pPr>
      <w:r>
        <w:rPr>
          <w:rFonts w:eastAsia="仿宋_GB2312"/>
          <w:sz w:val="36"/>
          <w:szCs w:val="36"/>
        </w:rPr>
        <w:t>编制日期：</w:t>
      </w:r>
      <w:r>
        <w:rPr>
          <w:rFonts w:eastAsia="仿宋_GB2312"/>
          <w:sz w:val="36"/>
          <w:szCs w:val="36"/>
          <w:u w:val="single"/>
        </w:rPr>
        <w:t xml:space="preserve">             202</w:t>
      </w:r>
      <w:r>
        <w:rPr>
          <w:rFonts w:hint="eastAsia" w:eastAsia="仿宋_GB2312"/>
          <w:sz w:val="36"/>
          <w:szCs w:val="36"/>
          <w:u w:val="single"/>
        </w:rPr>
        <w:t>3</w:t>
      </w:r>
      <w:r>
        <w:rPr>
          <w:rFonts w:eastAsia="仿宋_GB2312"/>
          <w:sz w:val="36"/>
          <w:szCs w:val="36"/>
          <w:u w:val="single"/>
        </w:rPr>
        <w:t>年</w:t>
      </w:r>
      <w:r>
        <w:rPr>
          <w:rFonts w:hint="eastAsia" w:eastAsia="仿宋_GB2312"/>
          <w:sz w:val="36"/>
          <w:szCs w:val="36"/>
          <w:u w:val="single"/>
        </w:rPr>
        <w:t>1</w:t>
      </w:r>
      <w:r>
        <w:rPr>
          <w:rFonts w:hint="eastAsia" w:eastAsia="仿宋_GB2312"/>
          <w:sz w:val="36"/>
          <w:szCs w:val="36"/>
          <w:u w:val="single"/>
          <w:lang w:val="en-US" w:eastAsia="zh-CN"/>
        </w:rPr>
        <w:t>1</w:t>
      </w:r>
      <w:r>
        <w:rPr>
          <w:rFonts w:eastAsia="仿宋_GB2312"/>
          <w:sz w:val="36"/>
          <w:szCs w:val="36"/>
          <w:u w:val="single"/>
        </w:rPr>
        <w:t xml:space="preserve">月                </w:t>
      </w:r>
    </w:p>
    <w:p>
      <w:pPr>
        <w:adjustRightInd w:val="0"/>
        <w:snapToGrid w:val="0"/>
        <w:spacing w:line="288" w:lineRule="auto"/>
        <w:ind w:firstLine="1040"/>
        <w:rPr>
          <w:rFonts w:eastAsia="仿宋_GB2312"/>
          <w:sz w:val="36"/>
          <w:szCs w:val="36"/>
          <w:u w:val="single"/>
        </w:rPr>
      </w:pPr>
      <w:bookmarkStart w:id="2" w:name="_Hlk57884087"/>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bookmarkEnd w:id="2"/>
    <w:p>
      <w:pPr>
        <w:adjustRightInd w:val="0"/>
        <w:snapToGrid w:val="0"/>
        <w:spacing w:line="288" w:lineRule="auto"/>
        <w:jc w:val="center"/>
        <w:rPr>
          <w:rFonts w:eastAsia="楷体_GB2312"/>
          <w:sz w:val="36"/>
          <w:szCs w:val="36"/>
        </w:rPr>
      </w:pPr>
      <w:r>
        <w:rPr>
          <w:rFonts w:eastAsia="楷体_GB2312"/>
          <w:sz w:val="36"/>
          <w:szCs w:val="36"/>
        </w:rPr>
        <w:t>中华人民共和国生态环境部制</w:t>
      </w:r>
    </w:p>
    <w:p>
      <w:pPr>
        <w:adjustRightInd w:val="0"/>
        <w:snapToGrid w:val="0"/>
        <w:spacing w:line="288" w:lineRule="auto"/>
        <w:ind w:firstLine="1040"/>
        <w:rPr>
          <w:rFonts w:eastAsia="仿宋_GB2312"/>
          <w:sz w:val="36"/>
          <w:szCs w:val="36"/>
        </w:rPr>
      </w:pPr>
    </w:p>
    <w:p>
      <w:pPr>
        <w:pStyle w:val="7"/>
        <w:spacing w:line="360" w:lineRule="auto"/>
        <w:rPr>
          <w:sz w:val="28"/>
          <w:szCs w:val="28"/>
        </w:rPr>
      </w:pPr>
      <w:r>
        <w:br w:type="page"/>
      </w:r>
      <w:r>
        <w:br w:type="page"/>
      </w:r>
    </w:p>
    <w:p>
      <w:pPr>
        <w:spacing w:line="360" w:lineRule="auto"/>
        <w:jc w:val="center"/>
        <w:rPr>
          <w:sz w:val="28"/>
          <w:szCs w:val="28"/>
        </w:rPr>
      </w:pPr>
      <w:r>
        <w:rPr>
          <w:sz w:val="28"/>
          <w:szCs w:val="28"/>
        </w:rPr>
        <w:t>目录</w:t>
      </w:r>
    </w:p>
    <w:p>
      <w:pPr>
        <w:pStyle w:val="15"/>
        <w:tabs>
          <w:tab w:val="right" w:leader="dot" w:pos="8834"/>
        </w:tabs>
        <w:spacing w:line="360" w:lineRule="auto"/>
        <w:jc w:val="center"/>
        <w:rPr>
          <w:rStyle w:val="24"/>
          <w:color w:val="auto"/>
          <w:sz w:val="28"/>
          <w:szCs w:val="28"/>
        </w:rPr>
      </w:pPr>
      <w:r>
        <w:rPr>
          <w:sz w:val="28"/>
          <w:szCs w:val="28"/>
        </w:rPr>
        <w:fldChar w:fldCharType="begin"/>
      </w:r>
      <w:r>
        <w:rPr>
          <w:rStyle w:val="24"/>
          <w:color w:val="auto"/>
          <w:sz w:val="28"/>
          <w:szCs w:val="28"/>
        </w:rPr>
        <w:instrText xml:space="preserve">TOC \o "1-1" \h \u </w:instrText>
      </w:r>
      <w:r>
        <w:rPr>
          <w:sz w:val="28"/>
          <w:szCs w:val="28"/>
        </w:rPr>
        <w:fldChar w:fldCharType="separate"/>
      </w:r>
      <w:r>
        <w:fldChar w:fldCharType="begin"/>
      </w:r>
      <w:r>
        <w:instrText xml:space="preserve"> HYPERLINK \l "_Toc24372" </w:instrText>
      </w:r>
      <w:r>
        <w:fldChar w:fldCharType="separate"/>
      </w:r>
      <w:r>
        <w:rPr>
          <w:rStyle w:val="24"/>
          <w:color w:val="auto"/>
          <w:sz w:val="28"/>
          <w:szCs w:val="28"/>
        </w:rPr>
        <w:t>一、建设项目基本情况</w:t>
      </w:r>
      <w:r>
        <w:rPr>
          <w:rStyle w:val="24"/>
          <w:color w:val="auto"/>
          <w:sz w:val="28"/>
          <w:szCs w:val="28"/>
        </w:rPr>
        <w:tab/>
      </w:r>
      <w:r>
        <w:rPr>
          <w:sz w:val="28"/>
          <w:szCs w:val="28"/>
        </w:rPr>
        <w:fldChar w:fldCharType="begin"/>
      </w:r>
      <w:r>
        <w:rPr>
          <w:rStyle w:val="24"/>
          <w:color w:val="auto"/>
          <w:sz w:val="28"/>
          <w:szCs w:val="28"/>
        </w:rPr>
        <w:instrText xml:space="preserve"> PAGEREF _Toc24372 \h </w:instrText>
      </w:r>
      <w:r>
        <w:rPr>
          <w:sz w:val="28"/>
          <w:szCs w:val="28"/>
        </w:rPr>
        <w:fldChar w:fldCharType="separate"/>
      </w:r>
      <w:r>
        <w:rPr>
          <w:rStyle w:val="24"/>
          <w:color w:val="auto"/>
          <w:sz w:val="28"/>
          <w:szCs w:val="28"/>
        </w:rPr>
        <w:t>1</w:t>
      </w:r>
      <w:r>
        <w:rPr>
          <w:sz w:val="28"/>
          <w:szCs w:val="28"/>
        </w:rPr>
        <w:fldChar w:fldCharType="end"/>
      </w:r>
      <w:r>
        <w:rPr>
          <w:sz w:val="28"/>
          <w:szCs w:val="28"/>
        </w:rPr>
        <w:fldChar w:fldCharType="end"/>
      </w:r>
    </w:p>
    <w:p>
      <w:pPr>
        <w:pStyle w:val="15"/>
        <w:tabs>
          <w:tab w:val="right" w:leader="dot" w:pos="8834"/>
        </w:tabs>
        <w:spacing w:line="360" w:lineRule="auto"/>
        <w:jc w:val="center"/>
        <w:rPr>
          <w:rStyle w:val="24"/>
          <w:color w:val="auto"/>
          <w:sz w:val="28"/>
          <w:szCs w:val="28"/>
        </w:rPr>
      </w:pPr>
      <w:r>
        <w:fldChar w:fldCharType="begin"/>
      </w:r>
      <w:r>
        <w:instrText xml:space="preserve"> HYPERLINK \l "_Toc9662" </w:instrText>
      </w:r>
      <w:r>
        <w:fldChar w:fldCharType="separate"/>
      </w:r>
      <w:r>
        <w:rPr>
          <w:rStyle w:val="24"/>
          <w:color w:val="auto"/>
          <w:sz w:val="28"/>
          <w:szCs w:val="28"/>
        </w:rPr>
        <w:t>二、建设项目工程分析</w:t>
      </w:r>
      <w:r>
        <w:rPr>
          <w:rStyle w:val="24"/>
          <w:color w:val="auto"/>
          <w:sz w:val="28"/>
          <w:szCs w:val="28"/>
        </w:rPr>
        <w:tab/>
      </w:r>
      <w:r>
        <w:rPr>
          <w:sz w:val="28"/>
          <w:szCs w:val="28"/>
        </w:rPr>
        <w:fldChar w:fldCharType="begin"/>
      </w:r>
      <w:r>
        <w:rPr>
          <w:rStyle w:val="24"/>
          <w:color w:val="auto"/>
          <w:sz w:val="28"/>
          <w:szCs w:val="28"/>
        </w:rPr>
        <w:instrText xml:space="preserve"> PAGEREF _Toc9662 \h </w:instrText>
      </w:r>
      <w:r>
        <w:rPr>
          <w:sz w:val="28"/>
          <w:szCs w:val="28"/>
        </w:rPr>
        <w:fldChar w:fldCharType="separate"/>
      </w:r>
      <w:r>
        <w:rPr>
          <w:rStyle w:val="24"/>
          <w:color w:val="auto"/>
          <w:sz w:val="28"/>
          <w:szCs w:val="28"/>
        </w:rPr>
        <w:t>15</w:t>
      </w:r>
      <w:r>
        <w:rPr>
          <w:sz w:val="28"/>
          <w:szCs w:val="28"/>
        </w:rPr>
        <w:fldChar w:fldCharType="end"/>
      </w:r>
      <w:r>
        <w:rPr>
          <w:sz w:val="28"/>
          <w:szCs w:val="28"/>
        </w:rPr>
        <w:fldChar w:fldCharType="end"/>
      </w:r>
    </w:p>
    <w:p>
      <w:pPr>
        <w:pStyle w:val="15"/>
        <w:tabs>
          <w:tab w:val="right" w:leader="dot" w:pos="8834"/>
        </w:tabs>
        <w:spacing w:line="360" w:lineRule="auto"/>
        <w:jc w:val="center"/>
        <w:rPr>
          <w:rStyle w:val="24"/>
          <w:color w:val="auto"/>
          <w:sz w:val="28"/>
          <w:szCs w:val="28"/>
        </w:rPr>
      </w:pPr>
      <w:r>
        <w:fldChar w:fldCharType="begin"/>
      </w:r>
      <w:r>
        <w:instrText xml:space="preserve"> HYPERLINK \l "_Toc13949" </w:instrText>
      </w:r>
      <w:r>
        <w:fldChar w:fldCharType="separate"/>
      </w:r>
      <w:r>
        <w:rPr>
          <w:rStyle w:val="24"/>
          <w:color w:val="auto"/>
          <w:sz w:val="28"/>
          <w:szCs w:val="28"/>
        </w:rPr>
        <w:t>三、区域环境质量现状、环境保护目标及评价标准</w:t>
      </w:r>
      <w:r>
        <w:rPr>
          <w:rStyle w:val="24"/>
          <w:color w:val="auto"/>
          <w:sz w:val="28"/>
          <w:szCs w:val="28"/>
        </w:rPr>
        <w:tab/>
      </w:r>
      <w:r>
        <w:rPr>
          <w:sz w:val="28"/>
          <w:szCs w:val="28"/>
        </w:rPr>
        <w:fldChar w:fldCharType="begin"/>
      </w:r>
      <w:r>
        <w:rPr>
          <w:rStyle w:val="24"/>
          <w:color w:val="auto"/>
          <w:sz w:val="28"/>
          <w:szCs w:val="28"/>
        </w:rPr>
        <w:instrText xml:space="preserve"> PAGEREF _Toc13949 \h </w:instrText>
      </w:r>
      <w:r>
        <w:rPr>
          <w:sz w:val="28"/>
          <w:szCs w:val="28"/>
        </w:rPr>
        <w:fldChar w:fldCharType="separate"/>
      </w:r>
      <w:r>
        <w:rPr>
          <w:rStyle w:val="24"/>
          <w:color w:val="auto"/>
          <w:sz w:val="28"/>
          <w:szCs w:val="28"/>
        </w:rPr>
        <w:t>34</w:t>
      </w:r>
      <w:r>
        <w:rPr>
          <w:sz w:val="28"/>
          <w:szCs w:val="28"/>
        </w:rPr>
        <w:fldChar w:fldCharType="end"/>
      </w:r>
      <w:r>
        <w:rPr>
          <w:sz w:val="28"/>
          <w:szCs w:val="28"/>
        </w:rPr>
        <w:fldChar w:fldCharType="end"/>
      </w:r>
    </w:p>
    <w:p>
      <w:pPr>
        <w:pStyle w:val="15"/>
        <w:tabs>
          <w:tab w:val="right" w:leader="dot" w:pos="8834"/>
        </w:tabs>
        <w:spacing w:line="360" w:lineRule="auto"/>
        <w:jc w:val="center"/>
        <w:rPr>
          <w:rStyle w:val="24"/>
          <w:color w:val="auto"/>
          <w:sz w:val="28"/>
          <w:szCs w:val="28"/>
        </w:rPr>
      </w:pPr>
      <w:r>
        <w:fldChar w:fldCharType="begin"/>
      </w:r>
      <w:r>
        <w:instrText xml:space="preserve"> HYPERLINK \l "_Toc30295" </w:instrText>
      </w:r>
      <w:r>
        <w:fldChar w:fldCharType="separate"/>
      </w:r>
      <w:r>
        <w:rPr>
          <w:rStyle w:val="24"/>
          <w:color w:val="auto"/>
          <w:sz w:val="28"/>
          <w:szCs w:val="28"/>
        </w:rPr>
        <w:t>四、主要环境影响和保护措施</w:t>
      </w:r>
      <w:r>
        <w:rPr>
          <w:rStyle w:val="24"/>
          <w:color w:val="auto"/>
          <w:sz w:val="28"/>
          <w:szCs w:val="28"/>
        </w:rPr>
        <w:tab/>
      </w:r>
      <w:r>
        <w:rPr>
          <w:sz w:val="28"/>
          <w:szCs w:val="28"/>
        </w:rPr>
        <w:fldChar w:fldCharType="begin"/>
      </w:r>
      <w:r>
        <w:rPr>
          <w:rStyle w:val="24"/>
          <w:color w:val="auto"/>
          <w:sz w:val="28"/>
          <w:szCs w:val="28"/>
        </w:rPr>
        <w:instrText xml:space="preserve"> PAGEREF _Toc30295 \h </w:instrText>
      </w:r>
      <w:r>
        <w:rPr>
          <w:sz w:val="28"/>
          <w:szCs w:val="28"/>
        </w:rPr>
        <w:fldChar w:fldCharType="separate"/>
      </w:r>
      <w:r>
        <w:rPr>
          <w:rStyle w:val="24"/>
          <w:color w:val="auto"/>
          <w:sz w:val="28"/>
          <w:szCs w:val="28"/>
        </w:rPr>
        <w:t>41</w:t>
      </w:r>
      <w:r>
        <w:rPr>
          <w:sz w:val="28"/>
          <w:szCs w:val="28"/>
        </w:rPr>
        <w:fldChar w:fldCharType="end"/>
      </w:r>
      <w:r>
        <w:rPr>
          <w:sz w:val="28"/>
          <w:szCs w:val="28"/>
        </w:rPr>
        <w:fldChar w:fldCharType="end"/>
      </w:r>
    </w:p>
    <w:p>
      <w:pPr>
        <w:pStyle w:val="15"/>
        <w:tabs>
          <w:tab w:val="right" w:leader="dot" w:pos="8834"/>
        </w:tabs>
        <w:spacing w:line="360" w:lineRule="auto"/>
        <w:jc w:val="center"/>
        <w:rPr>
          <w:rStyle w:val="24"/>
          <w:color w:val="auto"/>
          <w:sz w:val="28"/>
          <w:szCs w:val="28"/>
        </w:rPr>
      </w:pPr>
      <w:r>
        <w:fldChar w:fldCharType="begin"/>
      </w:r>
      <w:r>
        <w:instrText xml:space="preserve"> HYPERLINK \l "_Toc17142" </w:instrText>
      </w:r>
      <w:r>
        <w:fldChar w:fldCharType="separate"/>
      </w:r>
      <w:r>
        <w:rPr>
          <w:rStyle w:val="24"/>
          <w:color w:val="auto"/>
          <w:sz w:val="28"/>
          <w:szCs w:val="28"/>
        </w:rPr>
        <w:t>五、环境保护措施监督检查清单</w:t>
      </w:r>
      <w:r>
        <w:rPr>
          <w:rStyle w:val="24"/>
          <w:color w:val="auto"/>
          <w:sz w:val="28"/>
          <w:szCs w:val="28"/>
        </w:rPr>
        <w:tab/>
      </w:r>
      <w:r>
        <w:rPr>
          <w:sz w:val="28"/>
          <w:szCs w:val="28"/>
        </w:rPr>
        <w:fldChar w:fldCharType="begin"/>
      </w:r>
      <w:r>
        <w:rPr>
          <w:rStyle w:val="24"/>
          <w:color w:val="auto"/>
          <w:sz w:val="28"/>
          <w:szCs w:val="28"/>
        </w:rPr>
        <w:instrText xml:space="preserve"> PAGEREF _Toc17142 \h </w:instrText>
      </w:r>
      <w:r>
        <w:rPr>
          <w:sz w:val="28"/>
          <w:szCs w:val="28"/>
        </w:rPr>
        <w:fldChar w:fldCharType="separate"/>
      </w:r>
      <w:r>
        <w:rPr>
          <w:rStyle w:val="24"/>
          <w:color w:val="auto"/>
          <w:sz w:val="28"/>
          <w:szCs w:val="28"/>
        </w:rPr>
        <w:t>69</w:t>
      </w:r>
      <w:r>
        <w:rPr>
          <w:sz w:val="28"/>
          <w:szCs w:val="28"/>
        </w:rPr>
        <w:fldChar w:fldCharType="end"/>
      </w:r>
      <w:r>
        <w:rPr>
          <w:sz w:val="28"/>
          <w:szCs w:val="28"/>
        </w:rPr>
        <w:fldChar w:fldCharType="end"/>
      </w:r>
    </w:p>
    <w:p>
      <w:pPr>
        <w:pStyle w:val="15"/>
        <w:tabs>
          <w:tab w:val="right" w:leader="dot" w:pos="8834"/>
        </w:tabs>
        <w:spacing w:line="360" w:lineRule="auto"/>
        <w:jc w:val="center"/>
        <w:rPr>
          <w:rStyle w:val="24"/>
          <w:color w:val="auto"/>
          <w:sz w:val="28"/>
          <w:szCs w:val="28"/>
        </w:rPr>
      </w:pPr>
      <w:r>
        <w:fldChar w:fldCharType="begin"/>
      </w:r>
      <w:r>
        <w:instrText xml:space="preserve"> HYPERLINK \l "_Toc20798" </w:instrText>
      </w:r>
      <w:r>
        <w:fldChar w:fldCharType="separate"/>
      </w:r>
      <w:r>
        <w:rPr>
          <w:rStyle w:val="24"/>
          <w:color w:val="auto"/>
          <w:sz w:val="28"/>
          <w:szCs w:val="28"/>
        </w:rPr>
        <w:t>六、结论</w:t>
      </w:r>
      <w:r>
        <w:rPr>
          <w:rStyle w:val="24"/>
          <w:color w:val="auto"/>
          <w:sz w:val="28"/>
          <w:szCs w:val="28"/>
        </w:rPr>
        <w:tab/>
      </w:r>
      <w:r>
        <w:rPr>
          <w:sz w:val="28"/>
          <w:szCs w:val="28"/>
        </w:rPr>
        <w:fldChar w:fldCharType="begin"/>
      </w:r>
      <w:r>
        <w:rPr>
          <w:rStyle w:val="24"/>
          <w:color w:val="auto"/>
          <w:sz w:val="28"/>
          <w:szCs w:val="28"/>
        </w:rPr>
        <w:instrText xml:space="preserve"> PAGEREF _Toc20798 \h </w:instrText>
      </w:r>
      <w:r>
        <w:rPr>
          <w:sz w:val="28"/>
          <w:szCs w:val="28"/>
        </w:rPr>
        <w:fldChar w:fldCharType="separate"/>
      </w:r>
      <w:r>
        <w:rPr>
          <w:rStyle w:val="24"/>
          <w:color w:val="auto"/>
          <w:sz w:val="28"/>
          <w:szCs w:val="28"/>
        </w:rPr>
        <w:t>71</w:t>
      </w:r>
      <w:r>
        <w:rPr>
          <w:sz w:val="28"/>
          <w:szCs w:val="28"/>
        </w:rPr>
        <w:fldChar w:fldCharType="end"/>
      </w:r>
      <w:r>
        <w:rPr>
          <w:sz w:val="28"/>
          <w:szCs w:val="28"/>
        </w:rPr>
        <w:fldChar w:fldCharType="end"/>
      </w:r>
    </w:p>
    <w:p>
      <w:pPr>
        <w:pStyle w:val="15"/>
        <w:tabs>
          <w:tab w:val="right" w:leader="dot" w:pos="8834"/>
        </w:tabs>
        <w:spacing w:line="360" w:lineRule="auto"/>
        <w:jc w:val="center"/>
        <w:rPr>
          <w:rStyle w:val="24"/>
          <w:color w:val="auto"/>
          <w:sz w:val="28"/>
          <w:szCs w:val="28"/>
        </w:rPr>
      </w:pPr>
      <w:r>
        <w:fldChar w:fldCharType="begin"/>
      </w:r>
      <w:r>
        <w:instrText xml:space="preserve"> HYPERLINK \l "_Toc16360" </w:instrText>
      </w:r>
      <w:r>
        <w:fldChar w:fldCharType="separate"/>
      </w:r>
      <w:r>
        <w:rPr>
          <w:rStyle w:val="24"/>
          <w:color w:val="auto"/>
          <w:sz w:val="28"/>
          <w:szCs w:val="28"/>
        </w:rPr>
        <w:t>附表</w:t>
      </w:r>
      <w:r>
        <w:rPr>
          <w:rStyle w:val="24"/>
          <w:color w:val="auto"/>
          <w:sz w:val="28"/>
          <w:szCs w:val="28"/>
        </w:rPr>
        <w:tab/>
      </w:r>
      <w:r>
        <w:rPr>
          <w:sz w:val="28"/>
          <w:szCs w:val="28"/>
        </w:rPr>
        <w:fldChar w:fldCharType="begin"/>
      </w:r>
      <w:r>
        <w:rPr>
          <w:rStyle w:val="24"/>
          <w:color w:val="auto"/>
          <w:sz w:val="28"/>
          <w:szCs w:val="28"/>
        </w:rPr>
        <w:instrText xml:space="preserve"> PAGEREF _Toc16360 \h </w:instrText>
      </w:r>
      <w:r>
        <w:rPr>
          <w:sz w:val="28"/>
          <w:szCs w:val="28"/>
        </w:rPr>
        <w:fldChar w:fldCharType="separate"/>
      </w:r>
      <w:r>
        <w:rPr>
          <w:rStyle w:val="24"/>
          <w:color w:val="auto"/>
          <w:sz w:val="28"/>
          <w:szCs w:val="28"/>
        </w:rPr>
        <w:t>73</w:t>
      </w:r>
      <w:r>
        <w:rPr>
          <w:sz w:val="28"/>
          <w:szCs w:val="28"/>
        </w:rPr>
        <w:fldChar w:fldCharType="end"/>
      </w:r>
      <w:r>
        <w:rPr>
          <w:sz w:val="28"/>
          <w:szCs w:val="28"/>
        </w:rPr>
        <w:fldChar w:fldCharType="end"/>
      </w:r>
    </w:p>
    <w:p>
      <w:pPr>
        <w:pStyle w:val="15"/>
        <w:tabs>
          <w:tab w:val="right" w:leader="dot" w:pos="8834"/>
        </w:tabs>
        <w:spacing w:line="360" w:lineRule="auto"/>
        <w:rPr>
          <w:rStyle w:val="24"/>
          <w:color w:val="auto"/>
          <w:sz w:val="28"/>
          <w:szCs w:val="28"/>
          <w:u w:val="none"/>
        </w:rPr>
      </w:pPr>
      <w:r>
        <w:rPr>
          <w:sz w:val="28"/>
          <w:szCs w:val="28"/>
        </w:rPr>
        <w:fldChar w:fldCharType="end"/>
      </w:r>
      <w:r>
        <w:rPr>
          <w:rStyle w:val="24"/>
          <w:color w:val="auto"/>
          <w:sz w:val="28"/>
          <w:szCs w:val="28"/>
          <w:u w:val="none"/>
        </w:rPr>
        <w:t>附图</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（1）项目地理位置图</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（2）项目周围环境概况图</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（3）厂区、厂房平面布置图</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（4）苏州高新区总体规划图</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（5）生态红线规划图</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附件</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（1）建设项目备案证</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（2）建设单位营业执照及法人证件</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（3）租赁协议</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（4）土地证及存量用地函</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（5）雨污管网许可证</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（6）已建项目环评及批复</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（7）环境影响评价合同</w:t>
      </w:r>
    </w:p>
    <w:p>
      <w:pPr>
        <w:pStyle w:val="15"/>
        <w:tabs>
          <w:tab w:val="right" w:leader="dot" w:pos="8834"/>
        </w:tabs>
        <w:spacing w:line="360" w:lineRule="auto"/>
        <w:jc w:val="left"/>
        <w:rPr>
          <w:rStyle w:val="24"/>
          <w:color w:val="auto"/>
          <w:sz w:val="28"/>
          <w:szCs w:val="28"/>
          <w:u w:val="none"/>
        </w:rPr>
      </w:pPr>
      <w:r>
        <w:rPr>
          <w:rStyle w:val="24"/>
          <w:color w:val="auto"/>
          <w:sz w:val="28"/>
          <w:szCs w:val="28"/>
          <w:u w:val="none"/>
        </w:rPr>
        <w:t>（8）</w:t>
      </w:r>
      <w:r>
        <w:rPr>
          <w:rStyle w:val="24"/>
          <w:rFonts w:hint="eastAsia"/>
          <w:color w:val="auto"/>
          <w:sz w:val="28"/>
          <w:szCs w:val="28"/>
          <w:u w:val="none"/>
        </w:rPr>
        <w:t>检测报告</w:t>
      </w:r>
    </w:p>
    <w:p>
      <w:pPr>
        <w:pStyle w:val="15"/>
        <w:tabs>
          <w:tab w:val="right" w:leader="dot" w:pos="8834"/>
        </w:tabs>
        <w:spacing w:line="360" w:lineRule="auto"/>
        <w:jc w:val="left"/>
        <w:rPr>
          <w:rFonts w:eastAsia="仿宋_GB2312"/>
          <w:sz w:val="28"/>
          <w:szCs w:val="28"/>
        </w:rPr>
        <w:sectPr>
          <w:pgSz w:w="11906" w:h="16838"/>
          <w:pgMar w:top="1701" w:right="1531" w:bottom="1701" w:left="1531" w:header="851" w:footer="1077" w:gutter="0"/>
          <w:cols w:space="720" w:num="1"/>
          <w:docGrid w:linePitch="312" w:charSpace="0"/>
        </w:sectPr>
      </w:pPr>
      <w:r>
        <w:rPr>
          <w:rStyle w:val="24"/>
          <w:rFonts w:hint="eastAsia"/>
          <w:color w:val="auto"/>
          <w:sz w:val="28"/>
          <w:szCs w:val="28"/>
          <w:u w:val="none"/>
        </w:rPr>
        <w:t>（9）</w:t>
      </w:r>
      <w:r>
        <w:rPr>
          <w:rStyle w:val="24"/>
          <w:color w:val="auto"/>
          <w:sz w:val="28"/>
          <w:szCs w:val="28"/>
          <w:u w:val="none"/>
        </w:rPr>
        <w:t>其他</w:t>
      </w:r>
      <w:r>
        <w:rPr>
          <w:rStyle w:val="24"/>
          <w:color w:val="auto"/>
          <w:sz w:val="24"/>
          <w:u w:val="none"/>
        </w:rPr>
        <w:br w:type="page"/>
      </w:r>
    </w:p>
    <w:p>
      <w:pPr>
        <w:pStyle w:val="17"/>
        <w:jc w:val="center"/>
        <w:outlineLvl w:val="0"/>
        <w:rPr>
          <w:rFonts w:ascii="Times New Roman" w:hAnsi="Times New Roman" w:eastAsia="黑体"/>
          <w:snapToGrid w:val="0"/>
          <w:sz w:val="30"/>
          <w:szCs w:val="30"/>
        </w:rPr>
      </w:pPr>
      <w:bookmarkStart w:id="3" w:name="_Toc24372"/>
      <w:r>
        <w:rPr>
          <w:rFonts w:ascii="Times New Roman" w:hAnsi="Times New Roman" w:eastAsia="黑体"/>
          <w:snapToGrid w:val="0"/>
          <w:sz w:val="30"/>
          <w:szCs w:val="30"/>
        </w:rPr>
        <w:t>一、建设项目基本情况</w:t>
      </w:r>
      <w:bookmarkEnd w:id="3"/>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485"/>
        <w:gridCol w:w="2736"/>
        <w:gridCol w:w="2213"/>
        <w:gridCol w:w="31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建设项目名称</w:t>
            </w:r>
          </w:p>
        </w:tc>
        <w:tc>
          <w:tcPr>
            <w:tcW w:w="8146" w:type="dxa"/>
            <w:gridSpan w:val="3"/>
            <w:vAlign w:val="center"/>
          </w:tcPr>
          <w:p>
            <w:pPr>
              <w:adjustRightInd w:val="0"/>
              <w:snapToGrid w:val="0"/>
              <w:spacing w:line="280" w:lineRule="exact"/>
              <w:jc w:val="center"/>
              <w:rPr>
                <w:sz w:val="24"/>
              </w:rPr>
            </w:pPr>
            <w:r>
              <w:rPr>
                <w:rFonts w:hint="eastAsia"/>
                <w:sz w:val="24"/>
              </w:rPr>
              <w:t>赛晶（江苏）视觉技术有限公司年产工业相机、人脸识别终端及智能机器人感知模组200万台新建项目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项目代码</w:t>
            </w:r>
          </w:p>
        </w:tc>
        <w:tc>
          <w:tcPr>
            <w:tcW w:w="8146" w:type="dxa"/>
            <w:gridSpan w:val="3"/>
            <w:vAlign w:val="center"/>
          </w:tcPr>
          <w:p>
            <w:pPr>
              <w:widowControl/>
              <w:spacing w:line="280" w:lineRule="exact"/>
              <w:jc w:val="center"/>
              <w:rPr>
                <w:sz w:val="24"/>
              </w:rPr>
            </w:pPr>
            <w:r>
              <w:rPr>
                <w:rFonts w:hint="eastAsia"/>
                <w:sz w:val="24"/>
              </w:rPr>
              <w:t>2305-320505-89-01-330554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建设单位联系人</w:t>
            </w:r>
          </w:p>
        </w:tc>
        <w:tc>
          <w:tcPr>
            <w:tcW w:w="2736" w:type="dxa"/>
            <w:vAlign w:val="center"/>
          </w:tcPr>
          <w:p>
            <w:pPr>
              <w:adjustRightInd w:val="0"/>
              <w:snapToGrid w:val="0"/>
              <w:spacing w:line="280" w:lineRule="exact"/>
              <w:jc w:val="center"/>
              <w:rPr>
                <w:sz w:val="24"/>
              </w:rPr>
            </w:pPr>
            <w:r>
              <w:rPr>
                <w:rFonts w:hint="eastAsia"/>
                <w:sz w:val="24"/>
              </w:rPr>
              <w:t>刘效山</w:t>
            </w:r>
          </w:p>
        </w:tc>
        <w:tc>
          <w:tcPr>
            <w:tcW w:w="2213" w:type="dxa"/>
            <w:vAlign w:val="center"/>
          </w:tcPr>
          <w:p>
            <w:pPr>
              <w:adjustRightInd w:val="0"/>
              <w:snapToGrid w:val="0"/>
              <w:spacing w:line="280" w:lineRule="exact"/>
              <w:jc w:val="center"/>
              <w:rPr>
                <w:sz w:val="24"/>
              </w:rPr>
            </w:pPr>
            <w:r>
              <w:rPr>
                <w:sz w:val="24"/>
              </w:rPr>
              <w:t>联系方式</w:t>
            </w:r>
          </w:p>
        </w:tc>
        <w:tc>
          <w:tcPr>
            <w:tcW w:w="3197" w:type="dxa"/>
            <w:vAlign w:val="center"/>
          </w:tcPr>
          <w:p>
            <w:pPr>
              <w:widowControl/>
              <w:spacing w:line="280" w:lineRule="exact"/>
              <w:jc w:val="center"/>
              <w:rPr>
                <w:sz w:val="24"/>
              </w:rPr>
            </w:pPr>
            <w:r>
              <w:rPr>
                <w:rFonts w:hint="eastAsia"/>
                <w:sz w:val="24"/>
              </w:rPr>
              <w:t>13913557508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建设地点</w:t>
            </w:r>
          </w:p>
        </w:tc>
        <w:tc>
          <w:tcPr>
            <w:tcW w:w="8146" w:type="dxa"/>
            <w:gridSpan w:val="3"/>
            <w:vAlign w:val="center"/>
          </w:tcPr>
          <w:p>
            <w:pPr>
              <w:widowControl/>
              <w:spacing w:line="280" w:lineRule="exact"/>
              <w:jc w:val="left"/>
              <w:rPr>
                <w:sz w:val="24"/>
              </w:rPr>
            </w:pPr>
            <w:r>
              <w:rPr>
                <w:sz w:val="24"/>
                <w:u w:val="single"/>
              </w:rPr>
              <w:t xml:space="preserve"> 江苏 </w:t>
            </w:r>
            <w:r>
              <w:rPr>
                <w:sz w:val="24"/>
              </w:rPr>
              <w:t>省（自治区）</w:t>
            </w:r>
            <w:r>
              <w:rPr>
                <w:sz w:val="24"/>
                <w:u w:val="single"/>
              </w:rPr>
              <w:t xml:space="preserve"> 苏州 </w:t>
            </w:r>
            <w:r>
              <w:rPr>
                <w:sz w:val="24"/>
              </w:rPr>
              <w:t>市</w:t>
            </w:r>
            <w:r>
              <w:rPr>
                <w:sz w:val="24"/>
                <w:u w:val="single"/>
              </w:rPr>
              <w:t xml:space="preserve"> 高新 </w:t>
            </w:r>
            <w:r>
              <w:rPr>
                <w:sz w:val="24"/>
              </w:rPr>
              <w:t>县（区）</w:t>
            </w:r>
            <w:r>
              <w:rPr>
                <w:sz w:val="24"/>
                <w:u w:val="single"/>
              </w:rPr>
              <w:t xml:space="preserve"> </w:t>
            </w:r>
            <w:r>
              <w:rPr>
                <w:rFonts w:hint="eastAsia"/>
                <w:sz w:val="24"/>
                <w:u w:val="single"/>
              </w:rPr>
              <w:t>东渚</w:t>
            </w:r>
            <w:r>
              <w:rPr>
                <w:sz w:val="24"/>
                <w:u w:val="single"/>
              </w:rPr>
              <w:t xml:space="preserve"> </w:t>
            </w:r>
            <w:r>
              <w:rPr>
                <w:sz w:val="24"/>
              </w:rPr>
              <w:t>乡（街道）</w:t>
            </w:r>
            <w:r>
              <w:rPr>
                <w:sz w:val="24"/>
                <w:u w:val="single"/>
              </w:rPr>
              <w:t xml:space="preserve"> </w:t>
            </w:r>
            <w:r>
              <w:rPr>
                <w:rFonts w:hint="eastAsia"/>
                <w:sz w:val="24"/>
                <w:u w:val="single"/>
              </w:rPr>
              <w:t>金沙江路158号12幢</w:t>
            </w:r>
            <w:r>
              <w:rPr>
                <w:rFonts w:hint="eastAsia"/>
                <w:sz w:val="24"/>
                <w:u w:val="single"/>
                <w:lang w:val="en-US" w:eastAsia="zh-CN"/>
              </w:rPr>
              <w:t>202室、</w:t>
            </w:r>
            <w:r>
              <w:rPr>
                <w:rFonts w:hint="eastAsia"/>
                <w:sz w:val="24"/>
                <w:u w:val="single"/>
              </w:rPr>
              <w:t>302室</w:t>
            </w:r>
            <w:r>
              <w:rPr>
                <w:rFonts w:hint="eastAsia"/>
                <w:sz w:val="24"/>
                <w:u w:val="single"/>
                <w:lang w:val="en-US" w:eastAsia="zh-CN"/>
              </w:rPr>
              <w:t>和402室</w:t>
            </w:r>
            <w:r>
              <w:rPr>
                <w:rFonts w:hint="eastAsia"/>
                <w:sz w:val="24"/>
                <w:u w:val="single"/>
              </w:rPr>
              <w:t xml:space="preserve"> </w:t>
            </w:r>
            <w:r>
              <w:rPr>
                <w:sz w:val="24"/>
              </w:rPr>
              <w:t>（具体地址）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地理坐标</w:t>
            </w:r>
          </w:p>
        </w:tc>
        <w:tc>
          <w:tcPr>
            <w:tcW w:w="8146" w:type="dxa"/>
            <w:gridSpan w:val="3"/>
            <w:vAlign w:val="center"/>
          </w:tcPr>
          <w:p>
            <w:pPr>
              <w:spacing w:line="280" w:lineRule="exact"/>
              <w:jc w:val="center"/>
              <w:rPr>
                <w:sz w:val="24"/>
              </w:rPr>
            </w:pPr>
            <w:r>
              <w:rPr>
                <w:sz w:val="24"/>
              </w:rPr>
              <w:t>（</w:t>
            </w:r>
            <w:r>
              <w:rPr>
                <w:sz w:val="24"/>
                <w:u w:val="single"/>
              </w:rPr>
              <w:t xml:space="preserve">经度 120 </w:t>
            </w:r>
            <w:r>
              <w:rPr>
                <w:sz w:val="24"/>
              </w:rPr>
              <w:t>度</w:t>
            </w:r>
            <w:r>
              <w:rPr>
                <w:sz w:val="24"/>
                <w:u w:val="single"/>
              </w:rPr>
              <w:t xml:space="preserve"> 27 </w:t>
            </w:r>
            <w:r>
              <w:rPr>
                <w:sz w:val="24"/>
              </w:rPr>
              <w:t>分</w:t>
            </w:r>
            <w:r>
              <w:rPr>
                <w:sz w:val="24"/>
                <w:u w:val="single"/>
              </w:rPr>
              <w:t xml:space="preserve"> 10.468 </w:t>
            </w:r>
            <w:r>
              <w:rPr>
                <w:sz w:val="24"/>
              </w:rPr>
              <w:t>秒，</w:t>
            </w:r>
            <w:r>
              <w:rPr>
                <w:sz w:val="24"/>
                <w:u w:val="single"/>
              </w:rPr>
              <w:t xml:space="preserve">纬度 31 </w:t>
            </w:r>
            <w:r>
              <w:rPr>
                <w:sz w:val="24"/>
              </w:rPr>
              <w:t>度</w:t>
            </w:r>
            <w:r>
              <w:rPr>
                <w:sz w:val="24"/>
                <w:u w:val="single"/>
              </w:rPr>
              <w:t xml:space="preserve"> 23 </w:t>
            </w:r>
            <w:r>
              <w:rPr>
                <w:sz w:val="24"/>
              </w:rPr>
              <w:t>分</w:t>
            </w:r>
            <w:r>
              <w:rPr>
                <w:sz w:val="24"/>
                <w:u w:val="single"/>
              </w:rPr>
              <w:t xml:space="preserve"> 8.909 </w:t>
            </w:r>
            <w:r>
              <w:rPr>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4"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国民经济</w:t>
            </w:r>
          </w:p>
          <w:p>
            <w:pPr>
              <w:adjustRightInd w:val="0"/>
              <w:snapToGrid w:val="0"/>
              <w:jc w:val="center"/>
              <w:rPr>
                <w:sz w:val="24"/>
              </w:rPr>
            </w:pPr>
            <w:r>
              <w:rPr>
                <w:sz w:val="24"/>
              </w:rPr>
              <w:t>行业类别</w:t>
            </w:r>
          </w:p>
        </w:tc>
        <w:tc>
          <w:tcPr>
            <w:tcW w:w="2736" w:type="dxa"/>
            <w:vAlign w:val="center"/>
          </w:tcPr>
          <w:p>
            <w:pPr>
              <w:adjustRightInd w:val="0"/>
              <w:snapToGrid w:val="0"/>
              <w:spacing w:line="280" w:lineRule="exact"/>
              <w:jc w:val="center"/>
              <w:rPr>
                <w:sz w:val="24"/>
              </w:rPr>
            </w:pPr>
            <w:r>
              <w:rPr>
                <w:color w:val="auto"/>
                <w:sz w:val="24"/>
              </w:rPr>
              <w:t>【C39</w:t>
            </w:r>
            <w:r>
              <w:rPr>
                <w:rFonts w:hint="eastAsia"/>
                <w:color w:val="auto"/>
                <w:sz w:val="24"/>
              </w:rPr>
              <w:t>90</w:t>
            </w:r>
            <w:r>
              <w:rPr>
                <w:color w:val="auto"/>
                <w:sz w:val="24"/>
              </w:rPr>
              <w:t>】</w:t>
            </w:r>
            <w:r>
              <w:rPr>
                <w:rFonts w:hint="eastAsia"/>
                <w:color w:val="auto"/>
                <w:sz w:val="24"/>
              </w:rPr>
              <w:t>其他电子设备制造</w:t>
            </w:r>
          </w:p>
        </w:tc>
        <w:tc>
          <w:tcPr>
            <w:tcW w:w="2213" w:type="dxa"/>
            <w:vAlign w:val="center"/>
          </w:tcPr>
          <w:p>
            <w:pPr>
              <w:adjustRightInd w:val="0"/>
              <w:snapToGrid w:val="0"/>
              <w:spacing w:line="280" w:lineRule="exact"/>
              <w:jc w:val="center"/>
              <w:rPr>
                <w:sz w:val="24"/>
              </w:rPr>
            </w:pPr>
            <w:r>
              <w:rPr>
                <w:sz w:val="24"/>
              </w:rPr>
              <w:t>建设项目</w:t>
            </w:r>
          </w:p>
          <w:p>
            <w:pPr>
              <w:adjustRightInd w:val="0"/>
              <w:snapToGrid w:val="0"/>
              <w:spacing w:line="280" w:lineRule="exact"/>
              <w:jc w:val="center"/>
              <w:rPr>
                <w:sz w:val="24"/>
              </w:rPr>
            </w:pPr>
            <w:r>
              <w:rPr>
                <w:sz w:val="24"/>
              </w:rPr>
              <w:t>行业类别</w:t>
            </w:r>
          </w:p>
        </w:tc>
        <w:tc>
          <w:tcPr>
            <w:tcW w:w="3197" w:type="dxa"/>
            <w:vAlign w:val="center"/>
          </w:tcPr>
          <w:p>
            <w:pPr>
              <w:adjustRightInd w:val="0"/>
              <w:snapToGrid w:val="0"/>
              <w:spacing w:line="280" w:lineRule="exact"/>
              <w:jc w:val="center"/>
              <w:rPr>
                <w:sz w:val="24"/>
              </w:rPr>
            </w:pPr>
            <w:r>
              <w:rPr>
                <w:sz w:val="24"/>
              </w:rPr>
              <w:t xml:space="preserve">“三十六、计算机、通信和其他电子设备制造业”—“81 </w:t>
            </w:r>
            <w:r>
              <w:rPr>
                <w:rFonts w:hint="eastAsia"/>
                <w:sz w:val="24"/>
              </w:rPr>
              <w:t>其他电子设备制造</w:t>
            </w:r>
            <w:r>
              <w:rPr>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建设性质</w:t>
            </w:r>
          </w:p>
        </w:tc>
        <w:tc>
          <w:tcPr>
            <w:tcW w:w="2736" w:type="dxa"/>
            <w:vAlign w:val="center"/>
          </w:tcPr>
          <w:p>
            <w:pPr>
              <w:spacing w:line="280" w:lineRule="exact"/>
              <w:jc w:val="left"/>
              <w:rPr>
                <w:sz w:val="24"/>
              </w:rPr>
            </w:pPr>
            <w:r>
              <w:rPr>
                <w:sz w:val="24"/>
              </w:rPr>
              <w:sym w:font="Wingdings 2" w:char="0052"/>
            </w:r>
            <w:r>
              <w:rPr>
                <w:sz w:val="24"/>
              </w:rPr>
              <w:t>新建（迁建）</w:t>
            </w:r>
          </w:p>
          <w:p>
            <w:pPr>
              <w:spacing w:line="280" w:lineRule="exact"/>
              <w:jc w:val="left"/>
              <w:rPr>
                <w:sz w:val="24"/>
              </w:rPr>
            </w:pPr>
            <w:r>
              <w:rPr>
                <w:sz w:val="24"/>
              </w:rPr>
              <w:sym w:font="Wingdings 2" w:char="00A3"/>
            </w:r>
            <w:r>
              <w:rPr>
                <w:sz w:val="24"/>
              </w:rPr>
              <w:t>改建</w:t>
            </w:r>
          </w:p>
          <w:p>
            <w:pPr>
              <w:spacing w:line="280" w:lineRule="exact"/>
              <w:jc w:val="left"/>
              <w:rPr>
                <w:sz w:val="24"/>
              </w:rPr>
            </w:pPr>
            <w:r>
              <w:rPr>
                <w:sz w:val="24"/>
              </w:rPr>
              <w:sym w:font="Wingdings 2" w:char="00A3"/>
            </w:r>
            <w:r>
              <w:rPr>
                <w:sz w:val="24"/>
              </w:rPr>
              <w:t>扩建</w:t>
            </w:r>
          </w:p>
          <w:p>
            <w:pPr>
              <w:spacing w:line="280" w:lineRule="exact"/>
              <w:jc w:val="left"/>
              <w:rPr>
                <w:sz w:val="24"/>
              </w:rPr>
            </w:pPr>
            <w:r>
              <w:rPr>
                <w:sz w:val="24"/>
              </w:rPr>
              <w:sym w:font="Wingdings 2" w:char="00A3"/>
            </w:r>
            <w:r>
              <w:rPr>
                <w:sz w:val="24"/>
              </w:rPr>
              <w:t>技术改造</w:t>
            </w:r>
          </w:p>
        </w:tc>
        <w:tc>
          <w:tcPr>
            <w:tcW w:w="2213" w:type="dxa"/>
            <w:vAlign w:val="center"/>
          </w:tcPr>
          <w:p>
            <w:pPr>
              <w:adjustRightInd w:val="0"/>
              <w:snapToGrid w:val="0"/>
              <w:spacing w:line="280" w:lineRule="exact"/>
              <w:jc w:val="center"/>
              <w:rPr>
                <w:sz w:val="24"/>
              </w:rPr>
            </w:pPr>
            <w:r>
              <w:rPr>
                <w:sz w:val="24"/>
              </w:rPr>
              <w:t>建设项目</w:t>
            </w:r>
          </w:p>
          <w:p>
            <w:pPr>
              <w:adjustRightInd w:val="0"/>
              <w:snapToGrid w:val="0"/>
              <w:spacing w:line="280" w:lineRule="exact"/>
              <w:jc w:val="center"/>
              <w:rPr>
                <w:sz w:val="24"/>
              </w:rPr>
            </w:pPr>
            <w:r>
              <w:rPr>
                <w:sz w:val="24"/>
              </w:rPr>
              <w:t>申报情形</w:t>
            </w:r>
          </w:p>
        </w:tc>
        <w:tc>
          <w:tcPr>
            <w:tcW w:w="3197" w:type="dxa"/>
            <w:vAlign w:val="center"/>
          </w:tcPr>
          <w:p>
            <w:pPr>
              <w:spacing w:line="280" w:lineRule="exact"/>
              <w:jc w:val="left"/>
              <w:rPr>
                <w:sz w:val="24"/>
              </w:rPr>
            </w:pPr>
            <w:r>
              <w:rPr>
                <w:sz w:val="24"/>
              </w:rPr>
              <w:sym w:font="Wingdings 2" w:char="0052"/>
            </w:r>
            <w:r>
              <w:rPr>
                <w:sz w:val="24"/>
              </w:rPr>
              <w:t xml:space="preserve">首次申报项目             </w:t>
            </w:r>
          </w:p>
          <w:p>
            <w:pPr>
              <w:spacing w:line="280" w:lineRule="exact"/>
              <w:jc w:val="left"/>
              <w:rPr>
                <w:sz w:val="24"/>
              </w:rPr>
            </w:pPr>
            <w:r>
              <w:rPr>
                <w:sz w:val="24"/>
              </w:rPr>
              <w:sym w:font="Wingdings 2" w:char="00A3"/>
            </w:r>
            <w:r>
              <w:rPr>
                <w:sz w:val="24"/>
              </w:rPr>
              <w:t>不予批准后再次申报项目</w:t>
            </w:r>
          </w:p>
          <w:p>
            <w:pPr>
              <w:spacing w:line="280" w:lineRule="exact"/>
              <w:jc w:val="left"/>
              <w:rPr>
                <w:sz w:val="24"/>
              </w:rPr>
            </w:pPr>
            <w:r>
              <w:rPr>
                <w:sz w:val="24"/>
              </w:rPr>
              <w:sym w:font="Wingdings 2" w:char="00A3"/>
            </w:r>
            <w:r>
              <w:rPr>
                <w:sz w:val="24"/>
              </w:rPr>
              <w:t xml:space="preserve">超五年重新审核项目     </w:t>
            </w:r>
          </w:p>
          <w:p>
            <w:pPr>
              <w:spacing w:line="280" w:lineRule="exact"/>
              <w:jc w:val="left"/>
              <w:rPr>
                <w:sz w:val="24"/>
              </w:rPr>
            </w:pPr>
            <w:r>
              <w:rPr>
                <w:sz w:val="24"/>
              </w:rPr>
              <w:sym w:font="Wingdings 2" w:char="00A3"/>
            </w:r>
            <w:r>
              <w:rPr>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备案）部门（选填）</w:t>
            </w:r>
          </w:p>
        </w:tc>
        <w:tc>
          <w:tcPr>
            <w:tcW w:w="2736" w:type="dxa"/>
            <w:vAlign w:val="center"/>
          </w:tcPr>
          <w:p>
            <w:pPr>
              <w:adjustRightInd w:val="0"/>
              <w:snapToGrid w:val="0"/>
              <w:spacing w:line="280" w:lineRule="exact"/>
              <w:jc w:val="center"/>
              <w:rPr>
                <w:sz w:val="24"/>
              </w:rPr>
            </w:pPr>
            <w:r>
              <w:rPr>
                <w:sz w:val="24"/>
              </w:rPr>
              <w:t>苏州高新区（虎丘区）行政审批局</w:t>
            </w:r>
          </w:p>
        </w:tc>
        <w:tc>
          <w:tcPr>
            <w:tcW w:w="2213" w:type="dxa"/>
            <w:vAlign w:val="center"/>
          </w:tcPr>
          <w:p>
            <w:pPr>
              <w:adjustRightInd w:val="0"/>
              <w:snapToGrid w:val="0"/>
              <w:spacing w:line="280" w:lineRule="exact"/>
              <w:jc w:val="center"/>
              <w:rPr>
                <w:sz w:val="24"/>
              </w:rPr>
            </w:pPr>
            <w:r>
              <w:rPr>
                <w:sz w:val="24"/>
              </w:rPr>
              <w:t>项目审批（核准/</w:t>
            </w:r>
          </w:p>
          <w:p>
            <w:pPr>
              <w:adjustRightInd w:val="0"/>
              <w:snapToGrid w:val="0"/>
              <w:spacing w:line="280" w:lineRule="exact"/>
              <w:jc w:val="center"/>
              <w:rPr>
                <w:sz w:val="24"/>
              </w:rPr>
            </w:pPr>
            <w:r>
              <w:rPr>
                <w:sz w:val="24"/>
              </w:rPr>
              <w:t>备案）文号（选填）</w:t>
            </w:r>
          </w:p>
        </w:tc>
        <w:tc>
          <w:tcPr>
            <w:tcW w:w="3197" w:type="dxa"/>
            <w:vAlign w:val="center"/>
          </w:tcPr>
          <w:p>
            <w:pPr>
              <w:adjustRightInd w:val="0"/>
              <w:snapToGrid w:val="0"/>
              <w:spacing w:line="280" w:lineRule="exact"/>
              <w:jc w:val="center"/>
              <w:rPr>
                <w:rFonts w:hint="eastAsia" w:eastAsia="宋体"/>
                <w:sz w:val="24"/>
                <w:lang w:eastAsia="zh-CN"/>
              </w:rPr>
            </w:pPr>
            <w:r>
              <w:rPr>
                <w:rFonts w:hint="eastAsia"/>
                <w:sz w:val="24"/>
                <w:lang w:eastAsia="zh-CN"/>
              </w:rPr>
              <w:t>苏高新项备〔2023〕567号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总投资（万元）</w:t>
            </w:r>
          </w:p>
        </w:tc>
        <w:tc>
          <w:tcPr>
            <w:tcW w:w="2736" w:type="dxa"/>
            <w:vAlign w:val="center"/>
          </w:tcPr>
          <w:p>
            <w:pPr>
              <w:adjustRightInd w:val="0"/>
              <w:snapToGrid w:val="0"/>
              <w:spacing w:line="280" w:lineRule="exact"/>
              <w:jc w:val="center"/>
              <w:rPr>
                <w:sz w:val="24"/>
              </w:rPr>
            </w:pPr>
            <w:r>
              <w:rPr>
                <w:rFonts w:hint="eastAsia"/>
                <w:sz w:val="24"/>
              </w:rPr>
              <w:t>20000</w:t>
            </w:r>
          </w:p>
        </w:tc>
        <w:tc>
          <w:tcPr>
            <w:tcW w:w="2213" w:type="dxa"/>
            <w:tcMar>
              <w:top w:w="16" w:type="dxa"/>
              <w:left w:w="16" w:type="dxa"/>
              <w:right w:w="16" w:type="dxa"/>
            </w:tcMar>
            <w:vAlign w:val="center"/>
          </w:tcPr>
          <w:p>
            <w:pPr>
              <w:adjustRightInd w:val="0"/>
              <w:snapToGrid w:val="0"/>
              <w:spacing w:line="280" w:lineRule="exact"/>
              <w:jc w:val="center"/>
              <w:rPr>
                <w:sz w:val="24"/>
              </w:rPr>
            </w:pPr>
            <w:r>
              <w:rPr>
                <w:sz w:val="24"/>
              </w:rPr>
              <w:t>环保投资（万元）</w:t>
            </w:r>
          </w:p>
        </w:tc>
        <w:tc>
          <w:tcPr>
            <w:tcW w:w="3197" w:type="dxa"/>
            <w:vAlign w:val="center"/>
          </w:tcPr>
          <w:p>
            <w:pPr>
              <w:adjustRightInd w:val="0"/>
              <w:snapToGrid w:val="0"/>
              <w:spacing w:line="280" w:lineRule="exact"/>
              <w:jc w:val="center"/>
              <w:rPr>
                <w:sz w:val="24"/>
              </w:rPr>
            </w:pPr>
            <w:r>
              <w:rPr>
                <w:rFonts w:hint="eastAsia"/>
                <w:sz w:val="24"/>
              </w:rPr>
              <w:t>2</w:t>
            </w:r>
            <w:r>
              <w:rPr>
                <w:sz w:val="24"/>
              </w:rPr>
              <w:t>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环保投资占比（%）</w:t>
            </w:r>
          </w:p>
        </w:tc>
        <w:tc>
          <w:tcPr>
            <w:tcW w:w="2736" w:type="dxa"/>
            <w:vAlign w:val="center"/>
          </w:tcPr>
          <w:p>
            <w:pPr>
              <w:adjustRightInd w:val="0"/>
              <w:snapToGrid w:val="0"/>
              <w:spacing w:line="280" w:lineRule="exact"/>
              <w:jc w:val="center"/>
              <w:rPr>
                <w:sz w:val="24"/>
              </w:rPr>
            </w:pPr>
            <w:r>
              <w:rPr>
                <w:sz w:val="24"/>
              </w:rPr>
              <w:t>1</w:t>
            </w:r>
          </w:p>
        </w:tc>
        <w:tc>
          <w:tcPr>
            <w:tcW w:w="2213" w:type="dxa"/>
            <w:tcMar>
              <w:top w:w="16" w:type="dxa"/>
              <w:left w:w="16" w:type="dxa"/>
              <w:right w:w="16" w:type="dxa"/>
            </w:tcMar>
            <w:vAlign w:val="center"/>
          </w:tcPr>
          <w:p>
            <w:pPr>
              <w:adjustRightInd w:val="0"/>
              <w:snapToGrid w:val="0"/>
              <w:spacing w:line="280" w:lineRule="exact"/>
              <w:jc w:val="center"/>
              <w:rPr>
                <w:sz w:val="24"/>
              </w:rPr>
            </w:pPr>
            <w:r>
              <w:rPr>
                <w:sz w:val="24"/>
              </w:rPr>
              <w:t>施工工期</w:t>
            </w:r>
          </w:p>
        </w:tc>
        <w:tc>
          <w:tcPr>
            <w:tcW w:w="3197" w:type="dxa"/>
            <w:vAlign w:val="center"/>
          </w:tcPr>
          <w:p>
            <w:pPr>
              <w:adjustRightInd w:val="0"/>
              <w:snapToGrid w:val="0"/>
              <w:spacing w:line="280" w:lineRule="exact"/>
              <w:jc w:val="center"/>
              <w:rPr>
                <w:sz w:val="24"/>
              </w:rPr>
            </w:pPr>
            <w:r>
              <w:rPr>
                <w:rFonts w:hint="eastAsia"/>
                <w:sz w:val="24"/>
              </w:rPr>
              <w:t>3</w:t>
            </w:r>
            <w:r>
              <w:rPr>
                <w:sz w:val="24"/>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85" w:type="dxa"/>
            <w:tcMar>
              <w:top w:w="16" w:type="dxa"/>
              <w:left w:w="16" w:type="dxa"/>
              <w:right w:w="16" w:type="dxa"/>
            </w:tcMar>
            <w:vAlign w:val="center"/>
          </w:tcPr>
          <w:p>
            <w:pPr>
              <w:adjustRightInd w:val="0"/>
              <w:snapToGrid w:val="0"/>
              <w:jc w:val="center"/>
              <w:rPr>
                <w:sz w:val="24"/>
              </w:rPr>
            </w:pPr>
            <w:r>
              <w:rPr>
                <w:sz w:val="24"/>
              </w:rPr>
              <w:t>是否开工建设</w:t>
            </w:r>
          </w:p>
        </w:tc>
        <w:tc>
          <w:tcPr>
            <w:tcW w:w="2736" w:type="dxa"/>
            <w:vAlign w:val="center"/>
          </w:tcPr>
          <w:p>
            <w:pPr>
              <w:adjustRightInd w:val="0"/>
              <w:snapToGrid w:val="0"/>
              <w:spacing w:line="280" w:lineRule="exact"/>
              <w:rPr>
                <w:sz w:val="24"/>
              </w:rPr>
            </w:pPr>
            <w:r>
              <w:rPr>
                <w:sz w:val="24"/>
              </w:rPr>
              <w:sym w:font="Wingdings 2" w:char="0052"/>
            </w:r>
            <w:r>
              <w:rPr>
                <w:sz w:val="24"/>
              </w:rPr>
              <w:t>否</w:t>
            </w:r>
          </w:p>
          <w:p>
            <w:pPr>
              <w:adjustRightInd w:val="0"/>
              <w:snapToGrid w:val="0"/>
              <w:spacing w:line="280" w:lineRule="exact"/>
              <w:rPr>
                <w:sz w:val="24"/>
              </w:rPr>
            </w:pPr>
            <w:r>
              <w:rPr>
                <w:sz w:val="24"/>
              </w:rPr>
              <w:sym w:font="Wingdings 2" w:char="00A3"/>
            </w:r>
            <w:r>
              <w:rPr>
                <w:sz w:val="24"/>
              </w:rPr>
              <w:t>是：</w:t>
            </w:r>
            <w:r>
              <w:rPr>
                <w:sz w:val="24"/>
                <w:u w:val="single"/>
              </w:rPr>
              <w:t xml:space="preserve">             </w:t>
            </w:r>
          </w:p>
        </w:tc>
        <w:tc>
          <w:tcPr>
            <w:tcW w:w="2213" w:type="dxa"/>
            <w:tcMar>
              <w:top w:w="16" w:type="dxa"/>
              <w:left w:w="16" w:type="dxa"/>
              <w:right w:w="16" w:type="dxa"/>
            </w:tcMar>
            <w:vAlign w:val="center"/>
          </w:tcPr>
          <w:p>
            <w:pPr>
              <w:adjustRightInd w:val="0"/>
              <w:snapToGrid w:val="0"/>
              <w:spacing w:line="280" w:lineRule="exact"/>
              <w:jc w:val="center"/>
              <w:rPr>
                <w:sz w:val="24"/>
              </w:rPr>
            </w:pPr>
            <w:r>
              <w:rPr>
                <w:sz w:val="24"/>
              </w:rPr>
              <w:t>用地（用海）</w:t>
            </w:r>
          </w:p>
          <w:p>
            <w:pPr>
              <w:adjustRightInd w:val="0"/>
              <w:snapToGrid w:val="0"/>
              <w:spacing w:line="280" w:lineRule="exact"/>
              <w:jc w:val="center"/>
              <w:rPr>
                <w:sz w:val="24"/>
              </w:rPr>
            </w:pPr>
            <w:r>
              <w:rPr>
                <w:sz w:val="24"/>
              </w:rPr>
              <w:t>面积（m</w:t>
            </w:r>
            <w:r>
              <w:rPr>
                <w:sz w:val="24"/>
                <w:vertAlign w:val="superscript"/>
              </w:rPr>
              <w:t>2</w:t>
            </w:r>
            <w:r>
              <w:rPr>
                <w:sz w:val="24"/>
              </w:rPr>
              <w:t>）</w:t>
            </w:r>
          </w:p>
        </w:tc>
        <w:tc>
          <w:tcPr>
            <w:tcW w:w="3197" w:type="dxa"/>
            <w:vAlign w:val="center"/>
          </w:tcPr>
          <w:p>
            <w:pPr>
              <w:adjustRightInd w:val="0"/>
              <w:snapToGrid w:val="0"/>
              <w:spacing w:line="280" w:lineRule="exact"/>
              <w:jc w:val="center"/>
              <w:rPr>
                <w:sz w:val="24"/>
              </w:rPr>
            </w:pPr>
            <w:r>
              <w:rPr>
                <w:rFonts w:hint="eastAsia"/>
                <w:sz w:val="24"/>
              </w:rPr>
              <w:t>10197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485" w:type="dxa"/>
            <w:vAlign w:val="center"/>
          </w:tcPr>
          <w:p>
            <w:pPr>
              <w:autoSpaceDE w:val="0"/>
              <w:autoSpaceDN w:val="0"/>
              <w:adjustRightInd w:val="0"/>
              <w:snapToGrid w:val="0"/>
              <w:jc w:val="center"/>
              <w:rPr>
                <w:kern w:val="0"/>
                <w:sz w:val="24"/>
              </w:rPr>
            </w:pPr>
            <w:r>
              <w:rPr>
                <w:kern w:val="0"/>
                <w:sz w:val="24"/>
              </w:rPr>
              <w:t>专项评价设置情况</w:t>
            </w:r>
          </w:p>
        </w:tc>
        <w:tc>
          <w:tcPr>
            <w:tcW w:w="8146" w:type="dxa"/>
            <w:gridSpan w:val="3"/>
            <w:vAlign w:val="center"/>
          </w:tcPr>
          <w:p>
            <w:pPr>
              <w:tabs>
                <w:tab w:val="left" w:pos="0"/>
              </w:tabs>
              <w:spacing w:line="280" w:lineRule="exact"/>
              <w:jc w:val="center"/>
              <w:rPr>
                <w:highlight w:val="yellow"/>
              </w:rPr>
            </w:pPr>
            <w:r>
              <w:rPr>
                <w:bCs/>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485" w:type="dxa"/>
            <w:vAlign w:val="center"/>
          </w:tcPr>
          <w:p>
            <w:pPr>
              <w:autoSpaceDE w:val="0"/>
              <w:autoSpaceDN w:val="0"/>
              <w:adjustRightInd w:val="0"/>
              <w:snapToGrid w:val="0"/>
              <w:jc w:val="center"/>
              <w:rPr>
                <w:kern w:val="0"/>
                <w:sz w:val="24"/>
              </w:rPr>
            </w:pPr>
            <w:r>
              <w:rPr>
                <w:sz w:val="24"/>
              </w:rPr>
              <w:t>规划情况</w:t>
            </w:r>
          </w:p>
        </w:tc>
        <w:tc>
          <w:tcPr>
            <w:tcW w:w="8146" w:type="dxa"/>
            <w:gridSpan w:val="3"/>
            <w:vAlign w:val="center"/>
          </w:tcPr>
          <w:p>
            <w:pPr>
              <w:pStyle w:val="57"/>
              <w:spacing w:line="280" w:lineRule="exact"/>
              <w:ind w:firstLine="480" w:firstLineChars="200"/>
              <w:jc w:val="left"/>
              <w:rPr>
                <w:rFonts w:cs="Times New Roman"/>
                <w:szCs w:val="24"/>
              </w:rPr>
            </w:pPr>
            <w:r>
              <w:rPr>
                <w:rFonts w:cs="Times New Roman"/>
                <w:szCs w:val="24"/>
              </w:rPr>
              <w:t>《苏州高新区开发建设规划（2015-2030年）》</w:t>
            </w:r>
          </w:p>
          <w:p>
            <w:pPr>
              <w:pStyle w:val="57"/>
              <w:spacing w:line="280" w:lineRule="exact"/>
              <w:ind w:firstLine="496" w:firstLineChars="200"/>
              <w:jc w:val="left"/>
              <w:rPr>
                <w:rFonts w:cs="Times New Roman"/>
                <w:spacing w:val="4"/>
                <w:szCs w:val="24"/>
              </w:rPr>
            </w:pPr>
            <w:r>
              <w:rPr>
                <w:rFonts w:cs="Times New Roman"/>
                <w:spacing w:val="4"/>
                <w:szCs w:val="24"/>
              </w:rPr>
              <w:t>审批机关：苏州市政府</w:t>
            </w:r>
          </w:p>
          <w:p>
            <w:pPr>
              <w:pStyle w:val="57"/>
              <w:spacing w:line="280" w:lineRule="exact"/>
              <w:ind w:firstLine="496" w:firstLineChars="200"/>
              <w:jc w:val="left"/>
              <w:rPr>
                <w:rFonts w:cs="Times New Roman"/>
                <w:szCs w:val="24"/>
              </w:rPr>
            </w:pPr>
            <w:r>
              <w:rPr>
                <w:rFonts w:cs="Times New Roman"/>
                <w:spacing w:val="4"/>
                <w:szCs w:val="24"/>
              </w:rPr>
              <w:t>审批文件名称及文号：/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5" w:type="dxa"/>
            <w:vAlign w:val="center"/>
          </w:tcPr>
          <w:p>
            <w:pPr>
              <w:adjustRightInd w:val="0"/>
              <w:snapToGrid w:val="0"/>
              <w:jc w:val="center"/>
              <w:rPr>
                <w:sz w:val="24"/>
              </w:rPr>
            </w:pPr>
            <w:r>
              <w:rPr>
                <w:sz w:val="24"/>
              </w:rPr>
              <w:t>规划环境影响</w:t>
            </w:r>
          </w:p>
          <w:p>
            <w:pPr>
              <w:adjustRightInd w:val="0"/>
              <w:snapToGrid w:val="0"/>
              <w:jc w:val="center"/>
              <w:rPr>
                <w:kern w:val="0"/>
                <w:sz w:val="24"/>
              </w:rPr>
            </w:pPr>
            <w:r>
              <w:rPr>
                <w:sz w:val="24"/>
              </w:rPr>
              <w:t>评价情况</w:t>
            </w:r>
          </w:p>
        </w:tc>
        <w:tc>
          <w:tcPr>
            <w:tcW w:w="8146" w:type="dxa"/>
            <w:gridSpan w:val="3"/>
            <w:vAlign w:val="center"/>
          </w:tcPr>
          <w:p>
            <w:pPr>
              <w:pStyle w:val="63"/>
              <w:spacing w:line="280" w:lineRule="exact"/>
              <w:ind w:firstLine="480" w:firstLineChars="200"/>
              <w:jc w:val="left"/>
              <w:rPr>
                <w:rFonts w:ascii="Times New Roman" w:hAnsi="Times New Roman" w:cs="Times New Roman"/>
                <w:sz w:val="24"/>
              </w:rPr>
            </w:pPr>
            <w:r>
              <w:rPr>
                <w:rFonts w:ascii="Times New Roman" w:hAnsi="Times New Roman" w:cs="Times New Roman"/>
                <w:kern w:val="0"/>
                <w:sz w:val="24"/>
                <w:szCs w:val="24"/>
              </w:rPr>
              <w:t>规划环评名称：</w:t>
            </w:r>
            <w:r>
              <w:rPr>
                <w:rFonts w:ascii="Times New Roman" w:hAnsi="Times New Roman" w:cs="Times New Roman"/>
                <w:sz w:val="24"/>
              </w:rPr>
              <w:t>《苏州国家高新技术产业开发区开发建设规划（2015-2030年）环境影响报告书》</w:t>
            </w:r>
          </w:p>
          <w:p>
            <w:pPr>
              <w:pStyle w:val="63"/>
              <w:spacing w:line="280" w:lineRule="exact"/>
              <w:ind w:firstLine="480" w:firstLineChars="200"/>
              <w:jc w:val="left"/>
              <w:rPr>
                <w:rFonts w:ascii="Times New Roman" w:hAnsi="Times New Roman" w:cs="Times New Roman"/>
                <w:sz w:val="24"/>
              </w:rPr>
            </w:pPr>
            <w:r>
              <w:rPr>
                <w:rFonts w:ascii="Times New Roman" w:hAnsi="Times New Roman" w:cs="Times New Roman"/>
                <w:sz w:val="24"/>
              </w:rPr>
              <w:t>建设单位：苏州高新技术产业开发区管理委员会</w:t>
            </w:r>
          </w:p>
          <w:p>
            <w:pPr>
              <w:pStyle w:val="63"/>
              <w:spacing w:line="280" w:lineRule="exact"/>
              <w:ind w:firstLine="480" w:firstLineChars="200"/>
              <w:jc w:val="left"/>
              <w:rPr>
                <w:rFonts w:ascii="Times New Roman" w:hAnsi="Times New Roman" w:cs="Times New Roman"/>
                <w:sz w:val="24"/>
              </w:rPr>
            </w:pPr>
            <w:r>
              <w:rPr>
                <w:rFonts w:ascii="Times New Roman" w:hAnsi="Times New Roman" w:cs="Times New Roman"/>
                <w:sz w:val="24"/>
              </w:rPr>
              <w:t>评价单位：江苏省环境科学研究院</w:t>
            </w:r>
          </w:p>
          <w:p>
            <w:pPr>
              <w:pStyle w:val="63"/>
              <w:spacing w:line="280" w:lineRule="exact"/>
              <w:ind w:firstLine="480" w:firstLineChars="200"/>
              <w:jc w:val="left"/>
              <w:rPr>
                <w:rFonts w:ascii="Times New Roman" w:hAnsi="Times New Roman" w:cs="Times New Roman"/>
                <w:kern w:val="0"/>
                <w:sz w:val="24"/>
                <w:szCs w:val="24"/>
              </w:rPr>
            </w:pPr>
            <w:r>
              <w:rPr>
                <w:rFonts w:ascii="Times New Roman" w:hAnsi="Times New Roman" w:cs="Times New Roman"/>
                <w:kern w:val="0"/>
                <w:sz w:val="24"/>
                <w:szCs w:val="24"/>
              </w:rPr>
              <w:t>审查机关：中华人民共和国生态环境部（原</w:t>
            </w:r>
            <w:r>
              <w:rPr>
                <w:rFonts w:ascii="Times New Roman" w:hAnsi="Times New Roman" w:cs="Times New Roman"/>
                <w:sz w:val="24"/>
              </w:rPr>
              <w:t>环境保护部</w:t>
            </w:r>
            <w:r>
              <w:rPr>
                <w:rFonts w:ascii="Times New Roman" w:hAnsi="Times New Roman" w:cs="Times New Roman"/>
                <w:kern w:val="0"/>
                <w:sz w:val="24"/>
                <w:szCs w:val="24"/>
              </w:rPr>
              <w:t>）</w:t>
            </w:r>
          </w:p>
          <w:p>
            <w:pPr>
              <w:pStyle w:val="57"/>
              <w:spacing w:line="280" w:lineRule="exact"/>
              <w:ind w:firstLine="480" w:firstLineChars="200"/>
              <w:jc w:val="left"/>
              <w:rPr>
                <w:rFonts w:cs="Times New Roman"/>
              </w:rPr>
            </w:pPr>
            <w:r>
              <w:rPr>
                <w:rFonts w:cs="Times New Roman"/>
                <w:kern w:val="0"/>
                <w:szCs w:val="24"/>
              </w:rPr>
              <w:t>审查文件名称及文号：关于《苏州国家高新技术产业开发区开发建设规划（2015-2030年）环境影响报告书》的审查意见，</w:t>
            </w:r>
            <w:r>
              <w:rPr>
                <w:rFonts w:cs="Times New Roman"/>
              </w:rPr>
              <w:t>环审[2016]158号</w:t>
            </w:r>
          </w:p>
          <w:p>
            <w:pPr>
              <w:pStyle w:val="57"/>
              <w:spacing w:line="280" w:lineRule="exact"/>
              <w:ind w:firstLine="480" w:firstLineChars="200"/>
              <w:jc w:val="left"/>
              <w:rPr>
                <w:rFonts w:cs="Times New Roman"/>
                <w:kern w:val="0"/>
                <w:szCs w:val="24"/>
              </w:rPr>
            </w:pPr>
            <w:r>
              <w:rPr>
                <w:rFonts w:hint="eastAsia" w:cs="Times New Roman"/>
                <w:kern w:val="0"/>
                <w:szCs w:val="24"/>
              </w:rPr>
              <w:t>评估</w:t>
            </w:r>
            <w:r>
              <w:rPr>
                <w:rFonts w:cs="Times New Roman"/>
                <w:kern w:val="0"/>
                <w:szCs w:val="24"/>
              </w:rPr>
              <w:t>报告名称：《</w:t>
            </w:r>
            <w:r>
              <w:rPr>
                <w:rFonts w:hint="eastAsia" w:cs="Times New Roman"/>
              </w:rPr>
              <w:t>苏州</w:t>
            </w:r>
            <w:r>
              <w:rPr>
                <w:rFonts w:cs="Times New Roman"/>
              </w:rPr>
              <w:t>国家高新技术产业开发区环境影响区域评估报告</w:t>
            </w:r>
            <w:r>
              <w:rPr>
                <w:rFonts w:cs="Times New Roman"/>
                <w:kern w:val="0"/>
                <w:szCs w:val="24"/>
              </w:rPr>
              <w:t>》</w:t>
            </w:r>
            <w:r>
              <w:rPr>
                <w:rFonts w:hint="eastAsia" w:cs="Times New Roman"/>
                <w:kern w:val="0"/>
                <w:szCs w:val="24"/>
              </w:rPr>
              <w:t>（2021年12月）</w:t>
            </w:r>
          </w:p>
          <w:p>
            <w:pPr>
              <w:pStyle w:val="57"/>
              <w:spacing w:line="280" w:lineRule="exact"/>
              <w:ind w:firstLine="480" w:firstLineChars="200"/>
              <w:jc w:val="left"/>
              <w:rPr>
                <w:rFonts w:cs="Times New Roman"/>
              </w:rPr>
            </w:pPr>
            <w:r>
              <w:rPr>
                <w:rFonts w:hint="eastAsia" w:cs="Times New Roman"/>
                <w:kern w:val="0"/>
                <w:szCs w:val="24"/>
              </w:rPr>
              <w:t>建设</w:t>
            </w:r>
            <w:r>
              <w:rPr>
                <w:rFonts w:cs="Times New Roman"/>
                <w:kern w:val="0"/>
                <w:szCs w:val="24"/>
              </w:rPr>
              <w:t>单位：</w:t>
            </w:r>
            <w:r>
              <w:rPr>
                <w:rFonts w:hint="eastAsia" w:cs="Times New Roman"/>
              </w:rPr>
              <w:t>苏州</w:t>
            </w:r>
            <w:r>
              <w:rPr>
                <w:rFonts w:cs="Times New Roman"/>
              </w:rPr>
              <w:t>国家高新技术产业开发区</w:t>
            </w:r>
          </w:p>
          <w:p>
            <w:pPr>
              <w:pStyle w:val="57"/>
              <w:spacing w:line="280" w:lineRule="exact"/>
              <w:ind w:firstLine="480" w:firstLineChars="200"/>
              <w:jc w:val="left"/>
              <w:rPr>
                <w:rFonts w:cs="Times New Roman"/>
                <w:kern w:val="0"/>
                <w:szCs w:val="24"/>
              </w:rPr>
            </w:pPr>
            <w:r>
              <w:rPr>
                <w:rFonts w:cs="Times New Roman"/>
                <w:kern w:val="0"/>
                <w:szCs w:val="24"/>
              </w:rPr>
              <w:t>审查机关：</w:t>
            </w:r>
            <w:r>
              <w:rPr>
                <w:rFonts w:hint="eastAsia" w:cs="Times New Roman"/>
                <w:kern w:val="0"/>
                <w:szCs w:val="24"/>
              </w:rPr>
              <w:t>苏州市生态</w:t>
            </w:r>
            <w:r>
              <w:rPr>
                <w:rFonts w:cs="Times New Roman"/>
                <w:kern w:val="0"/>
                <w:szCs w:val="24"/>
              </w:rPr>
              <w:t>环境局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70" w:hRule="atLeast"/>
          <w:jc w:val="center"/>
        </w:trPr>
        <w:tc>
          <w:tcPr>
            <w:tcW w:w="1485" w:type="dxa"/>
            <w:vAlign w:val="center"/>
          </w:tcPr>
          <w:p>
            <w:pPr>
              <w:autoSpaceDE w:val="0"/>
              <w:autoSpaceDN w:val="0"/>
              <w:adjustRightInd w:val="0"/>
              <w:snapToGrid w:val="0"/>
              <w:jc w:val="center"/>
              <w:rPr>
                <w:kern w:val="0"/>
                <w:sz w:val="24"/>
              </w:rPr>
            </w:pPr>
            <w:r>
              <w:rPr>
                <w:kern w:val="0"/>
                <w:sz w:val="24"/>
              </w:rPr>
              <w:t>规划及规划环境影响评价符合性分析</w:t>
            </w:r>
          </w:p>
        </w:tc>
        <w:tc>
          <w:tcPr>
            <w:tcW w:w="8146" w:type="dxa"/>
            <w:gridSpan w:val="3"/>
            <w:vAlign w:val="center"/>
          </w:tcPr>
          <w:p>
            <w:pPr>
              <w:tabs>
                <w:tab w:val="left" w:pos="2160"/>
              </w:tabs>
              <w:spacing w:line="480" w:lineRule="exact"/>
              <w:ind w:firstLine="482" w:firstLineChars="200"/>
              <w:rPr>
                <w:rFonts w:ascii="宋体" w:hAnsi="宋体" w:cs="宋体"/>
                <w:b/>
                <w:sz w:val="24"/>
              </w:rPr>
            </w:pPr>
            <w:r>
              <w:rPr>
                <w:rFonts w:hint="eastAsia" w:ascii="宋体" w:hAnsi="宋体" w:cs="宋体"/>
                <w:b/>
                <w:sz w:val="24"/>
              </w:rPr>
              <w:t>本项目位于苏州市高新区东渚街道金沙江路158号12幢，属于科技城组团范围，为规划工业用地。项目已经苏州高新区行政审批局备案，从事其他电子设备制造，本项目未列入苏州高新区产业发展负面清单及入区项目负面清单；项目周边基础设施完善，供水、排水、供电、供气等条件均满足企业建设及运营所需；项目建设符合苏州高新区开发建设规划、规划环评结论及审查意见要求。具体如下：</w:t>
            </w:r>
          </w:p>
          <w:p>
            <w:pPr>
              <w:tabs>
                <w:tab w:val="left" w:pos="2160"/>
              </w:tabs>
              <w:spacing w:line="480" w:lineRule="exact"/>
              <w:ind w:firstLine="482" w:firstLineChars="200"/>
              <w:rPr>
                <w:rFonts w:ascii="宋体" w:hAnsi="宋体" w:cs="宋体"/>
                <w:b/>
                <w:sz w:val="24"/>
              </w:rPr>
            </w:pPr>
            <w:r>
              <w:rPr>
                <w:rFonts w:hint="eastAsia" w:ascii="宋体" w:hAnsi="宋体" w:cs="宋体"/>
                <w:b/>
                <w:sz w:val="24"/>
              </w:rPr>
              <w:t>1、与《苏州高新区开发建设规划（2015-2030年）》相符性分析</w:t>
            </w:r>
          </w:p>
          <w:p>
            <w:pPr>
              <w:pStyle w:val="64"/>
              <w:adjustRightInd w:val="0"/>
              <w:snapToGrid w:val="0"/>
              <w:spacing w:line="480" w:lineRule="exact"/>
              <w:ind w:firstLine="480" w:firstLineChars="200"/>
              <w:rPr>
                <w:rFonts w:ascii="宋体" w:hAnsi="宋体" w:cs="宋体"/>
                <w:sz w:val="24"/>
                <w:szCs w:val="24"/>
              </w:rPr>
            </w:pPr>
            <w:r>
              <w:rPr>
                <w:rFonts w:hint="eastAsia" w:ascii="宋体" w:hAnsi="宋体" w:cs="宋体"/>
                <w:sz w:val="24"/>
                <w:szCs w:val="24"/>
              </w:rPr>
              <w:t>（1）规划期限：2015年～2030年。规划近期至2020年，远期至2030年。</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（2）规划范围及产业布局：工业用地布局规划规划工业用地3643.3公顷，占规划城市建设用地的25.31％。 规划形成6个工业片区，为高新区发展工业的重要集中区域。</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枫桥工业区：面积约1539公顷。重点发展电子信息精密机械产业。</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浒通工业区：面积约1286公顷。重点发展电子产品及元件的制造和装配产业。其中包含出口加工区和保税物流园，面积分别为270公顷和50公顷。</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浒关工业园：面积约762公顷。重点发展装备制造、化工。其中化工集中区面积279公顷，主要发展化工产业，包括专用化学品产业、日用化学品产业、新材料产业、 生物技术及医药等。</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苏钢工业区：面积约450公顷。结合企业转型形成金属零部件生产与设计中心。</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通安工业区：面积约355公顷。重点发展电子信息产业。</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科技城工业区：面积约717.6公顷。重点发展新一代信息技术、轨道交通、新能源、医疗器械研发与制造等。</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（3）产业空间布局与引导：</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①分组团产业发展引导</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对高新区各重点组团进行产业引导是进行产业选择的前提，战略引导涉及发展方 向和发展引导两个方面。苏州高新区、虎丘区分为三大主导功能区和五大功能组团，分别是狮山片区（中心组团（包括狮山片和枫桥片、横塘组团））、浒通片区（浒通组团）和湖滨片区（科技城组团、湖滨组团）。</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②分组团产业选择</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各重点组团中原有主导产业均以工业为主，未来随着高新区城市功能的增加，产业的选择在立足于原有的工业基础的同时要逐步增添各类现代服务业和生产性服务业。</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狮山组团中原狮山街道地区是承担着建设城市中心的重任，未来对原有传统类服务产业进行经营模式的更新，并加大对现代服务业和生产性服务业的培育力度；原枫桥街道地区要在承担对高新区工业发展的支撑功能的同时加强与浒通组团的生产协调，与狮山组团的服务协调以及与阳山组团的生态环境协调，实现同而不重，功能互补。</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科技城组团借助周边地区的环境和景观资源，以生态、科技为发展理念大力发展清洁型和科技型产业，并引入现代商务产业。</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生态城组团拥有滨临太湖的天然优势，是苏州高新区宜居地区建设的典范，大力发展现代旅游业和休闲服务业。同时，把发展现代农业与发展生态休闲农业相结合，注重经济作物和农作物的规模经营，整治低效的家畜和渔业养殖。</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阳山组团作为体现高新区魅力的生态之核，要尽快将原有的工业产业进行替换， 建成以生态旅游和科技研发功能为主、彰显城市活力的绿色环保区。 横塘组团以特色市场服务（装饰市场）和科技服务为主打，注重经营模式的创新 以及规模效益的发挥。</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浒通组团要对原有的工业进行升级改造，并增添生产性服务业，在带动地区经济发展的同时实现生产性服务体系的完善。浒通组团主要产业类型细分为计算机及外部设备产业、基础元器件。汽车零部件、高端阀泵制造。企业管理服务、咨询与调查 信息服务、市场管理、机械设备租赁、金融保险等。未来引导产业主要是电子信息、装备制造、商务服务和金融保险等。</w:t>
            </w:r>
          </w:p>
          <w:p>
            <w:pPr>
              <w:adjustRightInd w:val="0"/>
              <w:snapToGrid w:val="0"/>
              <w:spacing w:line="480" w:lineRule="exact"/>
              <w:ind w:firstLine="482" w:firstLineChars="200"/>
              <w:rPr>
                <w:rFonts w:ascii="宋体" w:hAnsi="宋体" w:cs="宋体"/>
                <w:b/>
                <w:bCs/>
                <w:sz w:val="24"/>
              </w:rPr>
            </w:pPr>
            <w:r>
              <w:rPr>
                <w:rFonts w:hint="eastAsia" w:ascii="宋体" w:hAnsi="宋体" w:cs="宋体"/>
                <w:b/>
                <w:bCs/>
                <w:sz w:val="24"/>
              </w:rPr>
              <w:t>本项目位于苏州市高新区东渚街道金沙江路158号</w:t>
            </w:r>
            <w:r>
              <w:rPr>
                <w:rFonts w:hint="eastAsia" w:ascii="宋体" w:hAnsi="宋体" w:cs="宋体"/>
                <w:b/>
                <w:sz w:val="24"/>
              </w:rPr>
              <w:t>12幢</w:t>
            </w:r>
            <w:r>
              <w:rPr>
                <w:rFonts w:hint="eastAsia" w:ascii="宋体" w:hAnsi="宋体" w:cs="宋体"/>
                <w:b/>
                <w:bCs/>
                <w:sz w:val="24"/>
              </w:rPr>
              <w:t>，属于科技城组团范围，为规划工业用地，从事其他电子设备制造，属于电子信息产业，符合高新区产业规划，不违背科技城工业区产业发展定位。</w:t>
            </w:r>
          </w:p>
          <w:p>
            <w:pPr>
              <w:adjustRightInd w:val="0"/>
              <w:snapToGrid w:val="0"/>
              <w:spacing w:line="480" w:lineRule="exact"/>
              <w:ind w:firstLine="240" w:firstLineChars="100"/>
              <w:rPr>
                <w:rFonts w:ascii="宋体" w:hAnsi="宋体" w:cs="宋体"/>
                <w:sz w:val="24"/>
              </w:rPr>
            </w:pPr>
            <w:r>
              <w:rPr>
                <w:rFonts w:hint="eastAsia" w:ascii="宋体" w:hAnsi="宋体" w:cs="宋体"/>
                <w:sz w:val="24"/>
              </w:rPr>
              <w:t>（3）基础设施</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①给水</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规划：太湖是高新区饮用水源，水源地为上山水源地、渔洋山水源地。规划上山水源地取水规模达到60.0万立方米/日。渔洋山水源地保留现状取水规模15.0万立方米/日，并为主城水源地。供应高新区饮用水的水厂主要有2座，即新宁水厂和高新区二水厂。新宁水厂原水取自太湖渔洋山水源地，保持现状规模15.0万立方米/日，用地仍按规模30.0万立方米/日控制为12.2公顷。高新区二水厂原水取自太湖上山水源地，现状规模30.0万立方米/日，规划进一步扩建至规模60.0万立方米/日，用地控制为20.0公顷。高新区内白洋湾水厂保留，继续为主城服务。横山水厂搬迁至高新区外、吴中区内灵岩山西南角、苏福路北部。</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现状：苏州高新区供水水源为太湖，规划日供水能力为75万立方米，其中新宁水厂（原高新区自来水厂）位于竹园路、金枫路交叉口，已建日供水能力15万立方米；高新区</w:t>
            </w:r>
            <w:r>
              <w:rPr>
                <w:rFonts w:hint="eastAsia" w:ascii="宋体" w:hAnsi="宋体" w:cs="宋体"/>
                <w:color w:val="000000"/>
                <w:sz w:val="24"/>
              </w:rPr>
              <w:t>枫桥水质净化厂</w:t>
            </w:r>
            <w:r>
              <w:rPr>
                <w:rFonts w:hint="eastAsia" w:ascii="宋体" w:hAnsi="宋体" w:cs="宋体"/>
                <w:sz w:val="24"/>
              </w:rPr>
              <w:t>规划总规模为日供水能力60万立方米，目前已建日供水能力30万立方米。</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②排水</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现状：苏州高新区已实现雨、污水分流，排水系统实行雨污分流。雨水排放以分散就近排入河道为主。污水排放由各排污企业自行处理达《污水综合排放标准》（GB8978-1996）三级排放标准后由污水管网汇集至污水处理厂集中处理。苏州高新区规划共建有5座水质净化厂，包括狮山水质净化厂、枫桥水质净化厂、白荡水质净化厂、浒东水质净化厂、科技城水质净化厂。</w:t>
            </w:r>
          </w:p>
          <w:p>
            <w:pPr>
              <w:adjustRightInd w:val="0"/>
              <w:snapToGrid w:val="0"/>
              <w:spacing w:line="480" w:lineRule="exact"/>
              <w:ind w:firstLine="482" w:firstLineChars="200"/>
              <w:rPr>
                <w:rFonts w:ascii="宋体" w:hAnsi="宋体" w:cs="宋体"/>
                <w:b/>
                <w:sz w:val="24"/>
              </w:rPr>
            </w:pPr>
            <w:r>
              <w:rPr>
                <w:rFonts w:hint="eastAsia" w:ascii="宋体" w:hAnsi="宋体" w:cs="宋体"/>
                <w:b/>
                <w:sz w:val="24"/>
              </w:rPr>
              <w:t>本项目属于科技城水质净化厂服务范围，且项目所在区域污水管网已覆盖。</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①供电</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规划：高新区电源主要为望亭发电厂和500千伏苏州西变电站。华能热电厂2台60兆瓦机组通过110千伏接入公共电网；规划西部热电厂拟建2台200兆瓦机组通过220千伏接入公共电网。高新区属于太阳能可利用地区，将太阳能等可再生能源作为分布式能源系统的主要来源。规划新建220千伏通安变、东渚变、永安变、滨湖变4座220千伏变电所，作为各组团主供电源。</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现状：高新区现状电源主要为望亭发电厂和500千伏苏州西变电站，有220千伏狮山变、寒山变、阳山变、向阳变、建林变共5座220千伏变电所。</w:t>
            </w:r>
          </w:p>
          <w:p>
            <w:pPr>
              <w:adjustRightInd w:val="0"/>
              <w:snapToGrid w:val="0"/>
              <w:spacing w:line="480" w:lineRule="exact"/>
              <w:ind w:firstLine="480" w:firstLineChars="200"/>
              <w:rPr>
                <w:rFonts w:ascii="宋体" w:hAnsi="宋体" w:cs="宋体"/>
                <w:sz w:val="24"/>
              </w:rPr>
            </w:pPr>
            <w:r>
              <w:rPr>
                <w:rFonts w:hint="eastAsia" w:ascii="宋体" w:hAnsi="宋体" w:cs="宋体"/>
                <w:sz w:val="24"/>
              </w:rPr>
              <w:t>②供气</w:t>
            </w:r>
          </w:p>
          <w:p>
            <w:pPr>
              <w:spacing w:line="400" w:lineRule="exact"/>
              <w:ind w:firstLine="480" w:firstLineChars="200"/>
              <w:rPr>
                <w:rFonts w:ascii="宋体" w:hAnsi="宋体" w:cs="宋体"/>
                <w:sz w:val="24"/>
              </w:rPr>
            </w:pPr>
            <w:r>
              <w:rPr>
                <w:rFonts w:hint="eastAsia" w:ascii="宋体" w:hAnsi="宋体" w:cs="宋体"/>
                <w:sz w:val="24"/>
              </w:rPr>
              <w:t>以“西气东输”和“西气东输”二线工程天然气为主气源，实现管道天然气两种气源供应方式；中远期可争取如东LNG气源，提高供气安全性。苏州天然气上游交付点为甪直分输站和东桥分输站，交付压力为2.5兆帕，天然气经苏州天然气管网有限公司输气干管进入各高-中压调压站调压。苏州高新区由东桥高-中压调压站和王家庄高-中压调压站供应中压燃气。</w:t>
            </w:r>
          </w:p>
          <w:p>
            <w:pPr>
              <w:spacing w:line="400" w:lineRule="exact"/>
              <w:ind w:firstLine="480" w:firstLineChars="200"/>
              <w:rPr>
                <w:rFonts w:ascii="宋体" w:hAnsi="宋体" w:cs="宋体"/>
                <w:sz w:val="24"/>
              </w:rPr>
            </w:pPr>
            <w:r>
              <w:rPr>
                <w:rFonts w:hint="eastAsia" w:ascii="宋体" w:hAnsi="宋体" w:cs="宋体"/>
                <w:sz w:val="24"/>
              </w:rPr>
              <w:t>在浒通工业园建设天然气加气母站，并结合建设LNG储配站和燃气综合服务站，作为高新区天然气调峰和补充气源，预留建设用地1.5公顷。规划燃气热电厂自建企业自备LNG储气站作为生产主气源，以次高压B级（0.8兆帕）管道天然气作为辅助气源。</w:t>
            </w:r>
          </w:p>
          <w:p>
            <w:pPr>
              <w:spacing w:line="480" w:lineRule="exact"/>
              <w:ind w:firstLine="482" w:firstLineChars="200"/>
              <w:rPr>
                <w:rFonts w:ascii="宋体" w:hAnsi="宋体" w:cs="宋体"/>
                <w:b/>
                <w:bCs/>
                <w:sz w:val="24"/>
              </w:rPr>
            </w:pPr>
            <w:r>
              <w:rPr>
                <w:rFonts w:hint="eastAsia" w:ascii="宋体" w:hAnsi="宋体" w:cs="宋体"/>
                <w:b/>
                <w:bCs/>
                <w:sz w:val="24"/>
              </w:rPr>
              <w:t>本项目排水雨污分流、清污分流。废水接管进科技城水质净化厂集中处理；周边配套基础设施已建设完善，可满足项目供水、排水、供电需求。</w:t>
            </w:r>
          </w:p>
          <w:p>
            <w:pPr>
              <w:spacing w:line="480" w:lineRule="exact"/>
              <w:ind w:firstLine="482" w:firstLineChars="200"/>
              <w:rPr>
                <w:rFonts w:ascii="宋体" w:hAnsi="宋体" w:cs="宋体"/>
                <w:b/>
                <w:bCs/>
                <w:sz w:val="24"/>
              </w:rPr>
            </w:pPr>
            <w:r>
              <w:rPr>
                <w:rFonts w:hint="eastAsia" w:ascii="宋体" w:hAnsi="宋体" w:cs="宋体"/>
                <w:b/>
                <w:bCs/>
                <w:sz w:val="24"/>
              </w:rPr>
              <w:t>2、《苏州国家高新技术产业开发区开发建设规划（2015-2030年）环境影响报告书》相符性分析</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（1）产业发展负面清单</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①高新区引入项目应符合国家和地方的产业政策，严格按照《产业结构调整指导目录（2019年本）》、《苏州市产业发展导向目录（2007年本）》等产业指导目录进行控制，以上文件中限制或淘汰类的项目，一律禁止引入高新区。此外，高新区规划工业用地中禁止新建、改建、扩建制革、酿造、印染、电镀等项目，不新增含氮和磷等污染物排放的项目，原则上停止造纸新项目的引进；</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②属于《江苏省生态红线区域保护规划》中规定的位于生态红线保护区一级管控区内与保护主导生态功能无关的开发建设项目、位于生态红线保护区二级管控区内禁止从事的开发建设项目；</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③属于《江苏省人民代表大会常务委员会关于加强饮用水源地保护的决定》中规定的位于饮用水源准保护区、二级保护区、一级保护区内禁止从事的开发建设项目；</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④不符合城市总体规划、土地利用规划、环境保护规划的建设项目；</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⑤不符合所在苏州高新区产业定位的工业项目；</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⑥不符合化工集中区产业定位的化工项目；</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⑦未进入涉重片区的新建涉及重点重金属（铅、汞、铬、镉和类金属砷）项目；</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⑧环境污染严重、污染物排放总量指标未落实的项目；</w:t>
            </w:r>
          </w:p>
          <w:p>
            <w:pPr>
              <w:tabs>
                <w:tab w:val="left" w:pos="0"/>
              </w:tabs>
              <w:spacing w:line="360" w:lineRule="auto"/>
              <w:ind w:firstLine="530" w:firstLineChars="221"/>
              <w:jc w:val="left"/>
              <w:rPr>
                <w:rFonts w:ascii="宋体" w:hAnsi="宋体" w:cs="宋体"/>
                <w:sz w:val="24"/>
              </w:rPr>
            </w:pPr>
            <w:r>
              <w:rPr>
                <w:rFonts w:hint="eastAsia" w:ascii="宋体" w:hAnsi="宋体" w:cs="宋体"/>
                <w:sz w:val="24"/>
              </w:rPr>
              <w:t>⑨国家、江苏省明确规定不得审批的建设项目。</w:t>
            </w:r>
          </w:p>
          <w:p>
            <w:pPr>
              <w:pStyle w:val="6"/>
              <w:tabs>
                <w:tab w:val="left" w:pos="4860"/>
              </w:tabs>
              <w:spacing w:before="0" w:after="0" w:line="360" w:lineRule="auto"/>
              <w:ind w:firstLine="422"/>
              <w:rPr>
                <w:sz w:val="24"/>
                <w:szCs w:val="24"/>
              </w:rPr>
            </w:pPr>
            <w:r>
              <w:rPr>
                <w:sz w:val="24"/>
                <w:szCs w:val="24"/>
              </w:rPr>
              <w:t>本项目</w:t>
            </w:r>
            <w:r>
              <w:rPr>
                <w:rFonts w:hint="eastAsia"/>
                <w:sz w:val="24"/>
                <w:szCs w:val="24"/>
              </w:rPr>
              <w:t>属于其他电子设备制造；项目位于太湖流域一级保护区，符合《太湖流域管理条例》、《江苏省太湖水污染防治条例》要求。本项目建设</w:t>
            </w:r>
            <w:r>
              <w:rPr>
                <w:sz w:val="24"/>
                <w:szCs w:val="24"/>
              </w:rPr>
              <w:t>符合国家</w:t>
            </w:r>
            <w:r>
              <w:rPr>
                <w:rFonts w:hint="eastAsia"/>
                <w:sz w:val="24"/>
                <w:szCs w:val="24"/>
              </w:rPr>
              <w:t>、</w:t>
            </w:r>
            <w:r>
              <w:rPr>
                <w:sz w:val="24"/>
                <w:szCs w:val="24"/>
              </w:rPr>
              <w:t>地方的产业政策</w:t>
            </w:r>
            <w:r>
              <w:rPr>
                <w:rFonts w:hint="eastAsia"/>
                <w:sz w:val="24"/>
                <w:szCs w:val="24"/>
              </w:rPr>
              <w:t>，</w:t>
            </w:r>
            <w:r>
              <w:rPr>
                <w:sz w:val="24"/>
                <w:szCs w:val="24"/>
              </w:rPr>
              <w:t>未列入高新区产业发展负面清单</w:t>
            </w:r>
            <w:r>
              <w:rPr>
                <w:rFonts w:hint="eastAsia"/>
                <w:sz w:val="24"/>
                <w:szCs w:val="24"/>
              </w:rPr>
              <w:t>、</w:t>
            </w:r>
            <w:r>
              <w:rPr>
                <w:sz w:val="24"/>
                <w:szCs w:val="24"/>
              </w:rPr>
              <w:t>入区项目负面清单</w:t>
            </w:r>
            <w:r>
              <w:rPr>
                <w:rFonts w:hint="eastAsia"/>
                <w:sz w:val="24"/>
                <w:szCs w:val="24"/>
              </w:rPr>
              <w:t>。</w:t>
            </w:r>
          </w:p>
          <w:p>
            <w:pPr>
              <w:tabs>
                <w:tab w:val="left" w:pos="0"/>
              </w:tabs>
              <w:spacing w:line="360" w:lineRule="auto"/>
              <w:ind w:firstLine="530" w:firstLineChars="221"/>
              <w:jc w:val="left"/>
              <w:rPr>
                <w:sz w:val="24"/>
              </w:rPr>
            </w:pPr>
            <w:r>
              <w:rPr>
                <w:sz w:val="24"/>
              </w:rPr>
              <w:t>（2）审查意见</w:t>
            </w:r>
          </w:p>
          <w:p>
            <w:pPr>
              <w:tabs>
                <w:tab w:val="left" w:pos="0"/>
              </w:tabs>
              <w:spacing w:line="360" w:lineRule="auto"/>
              <w:ind w:firstLine="530" w:firstLineChars="221"/>
              <w:jc w:val="left"/>
              <w:rPr>
                <w:sz w:val="24"/>
              </w:rPr>
            </w:pPr>
            <w:r>
              <w:rPr>
                <w:sz w:val="24"/>
              </w:rPr>
              <w:t>《苏州国家高新技术产业开发区开发建设规划（2015-2030年）环境影响报告书》于2016年11月29日获得国家环保部的审查意见（环审[2016]158号），本项目与审查意见相关内容的相符性分析见下表。</w:t>
            </w:r>
          </w:p>
          <w:p>
            <w:pPr>
              <w:pStyle w:val="6"/>
              <w:tabs>
                <w:tab w:val="left" w:pos="4860"/>
              </w:tabs>
              <w:spacing w:before="0" w:after="0" w:line="240" w:lineRule="auto"/>
              <w:jc w:val="center"/>
              <w:rPr>
                <w:sz w:val="18"/>
                <w:szCs w:val="18"/>
              </w:rPr>
            </w:pPr>
            <w:r>
              <w:rPr>
                <w:sz w:val="24"/>
                <w:szCs w:val="24"/>
              </w:rPr>
              <w:t>表1-</w:t>
            </w:r>
            <w:r>
              <w:rPr>
                <w:rFonts w:hint="eastAsia"/>
                <w:sz w:val="24"/>
                <w:szCs w:val="24"/>
              </w:rPr>
              <w:t>3</w:t>
            </w:r>
            <w:r>
              <w:rPr>
                <w:sz w:val="24"/>
                <w:szCs w:val="24"/>
              </w:rPr>
              <w:t xml:space="preserve"> 本项目与规划环评审查意见相符性分析</w:t>
            </w:r>
          </w:p>
          <w:tbl>
            <w:tblPr>
              <w:tblStyle w:val="20"/>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94"/>
              <w:gridCol w:w="5308"/>
              <w:gridCol w:w="1259"/>
              <w:gridCol w:w="76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before="134" w:line="276" w:lineRule="auto"/>
                    <w:ind w:left="40"/>
                    <w:jc w:val="left"/>
                    <w:rPr>
                      <w:szCs w:val="21"/>
                    </w:rPr>
                  </w:pPr>
                  <w:r>
                    <w:rPr>
                      <w:szCs w:val="21"/>
                    </w:rPr>
                    <w:t>序号</w:t>
                  </w:r>
                </w:p>
              </w:tc>
              <w:tc>
                <w:tcPr>
                  <w:tcW w:w="3347" w:type="pct"/>
                  <w:vAlign w:val="center"/>
                </w:tcPr>
                <w:p>
                  <w:pPr>
                    <w:spacing w:before="148" w:line="276" w:lineRule="auto"/>
                    <w:ind w:left="23" w:right="5"/>
                    <w:jc w:val="center"/>
                    <w:rPr>
                      <w:szCs w:val="21"/>
                    </w:rPr>
                  </w:pPr>
                  <w:r>
                    <w:rPr>
                      <w:szCs w:val="21"/>
                    </w:rPr>
                    <w:t>要求</w:t>
                  </w:r>
                </w:p>
              </w:tc>
              <w:tc>
                <w:tcPr>
                  <w:tcW w:w="794" w:type="pct"/>
                  <w:vAlign w:val="center"/>
                </w:tcPr>
                <w:p>
                  <w:pPr>
                    <w:spacing w:before="148" w:line="276" w:lineRule="auto"/>
                    <w:ind w:left="23" w:right="5"/>
                    <w:jc w:val="center"/>
                    <w:rPr>
                      <w:szCs w:val="21"/>
                    </w:rPr>
                  </w:pPr>
                  <w:r>
                    <w:rPr>
                      <w:szCs w:val="21"/>
                    </w:rPr>
                    <w:t>本项目</w:t>
                  </w:r>
                </w:p>
              </w:tc>
              <w:tc>
                <w:tcPr>
                  <w:tcW w:w="485" w:type="pct"/>
                  <w:vAlign w:val="center"/>
                </w:tcPr>
                <w:p>
                  <w:pPr>
                    <w:spacing w:before="11" w:line="276" w:lineRule="auto"/>
                    <w:ind w:left="23" w:right="5"/>
                    <w:jc w:val="center"/>
                    <w:rPr>
                      <w:szCs w:val="21"/>
                    </w:rPr>
                  </w:pPr>
                  <w:r>
                    <w:rPr>
                      <w:szCs w:val="21"/>
                    </w:rPr>
                    <w:t>相符性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before="9" w:line="276" w:lineRule="auto"/>
                    <w:ind w:left="17"/>
                    <w:jc w:val="center"/>
                    <w:rPr>
                      <w:szCs w:val="21"/>
                    </w:rPr>
                  </w:pPr>
                  <w:r>
                    <w:rPr>
                      <w:szCs w:val="21"/>
                    </w:rPr>
                    <w:t>1</w:t>
                  </w:r>
                </w:p>
              </w:tc>
              <w:tc>
                <w:tcPr>
                  <w:tcW w:w="3347" w:type="pct"/>
                  <w:vAlign w:val="center"/>
                </w:tcPr>
                <w:p>
                  <w:pPr>
                    <w:adjustRightInd w:val="0"/>
                    <w:spacing w:line="276" w:lineRule="auto"/>
                    <w:jc w:val="left"/>
                    <w:rPr>
                      <w:szCs w:val="21"/>
                    </w:rPr>
                  </w:pPr>
                  <w:r>
                    <w:rPr>
                      <w:rFonts w:hint="eastAsia"/>
                      <w:szCs w:val="21"/>
                    </w:rPr>
                    <w:t>根据国家、区域发展战略，结合苏州城市发展方向，突出集约发展、绿色发展以及城市与产业协调发展的理念，进一步优化《规划》的发展定位、功能布局、发展规模、产业布局和结构等，加强与苏州市城市总体规划、土地利用总体规划的协调和衔接，积极促进高新区产业转型升级，推进区域环境质量持续改善和提升</w:t>
                  </w:r>
                </w:p>
              </w:tc>
              <w:tc>
                <w:tcPr>
                  <w:tcW w:w="794" w:type="pct"/>
                  <w:vAlign w:val="center"/>
                </w:tcPr>
                <w:p>
                  <w:pPr>
                    <w:spacing w:before="174" w:line="276" w:lineRule="auto"/>
                    <w:ind w:right="55"/>
                    <w:rPr>
                      <w:szCs w:val="21"/>
                    </w:rPr>
                  </w:pPr>
                  <w:r>
                    <w:rPr>
                      <w:szCs w:val="21"/>
                    </w:rPr>
                    <w:t>本项目</w:t>
                  </w:r>
                  <w:r>
                    <w:rPr>
                      <w:rFonts w:hint="eastAsia"/>
                      <w:szCs w:val="21"/>
                    </w:rPr>
                    <w:t>苏州城市发展方向。</w:t>
                  </w:r>
                </w:p>
              </w:tc>
              <w:tc>
                <w:tcPr>
                  <w:tcW w:w="485" w:type="pct"/>
                  <w:vAlign w:val="center"/>
                </w:tcPr>
                <w:p>
                  <w:pPr>
                    <w:spacing w:line="276" w:lineRule="auto"/>
                    <w:ind w:right="63"/>
                    <w:jc w:val="center"/>
                    <w:rPr>
                      <w:szCs w:val="21"/>
                    </w:rPr>
                  </w:pPr>
                  <w:r>
                    <w:rPr>
                      <w:szCs w:val="21"/>
                    </w:rPr>
                    <w:t>相符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before="9" w:line="276" w:lineRule="auto"/>
                    <w:ind w:left="17"/>
                    <w:jc w:val="center"/>
                    <w:rPr>
                      <w:szCs w:val="21"/>
                    </w:rPr>
                  </w:pPr>
                  <w:r>
                    <w:rPr>
                      <w:szCs w:val="21"/>
                    </w:rPr>
                    <w:t>2</w:t>
                  </w:r>
                </w:p>
              </w:tc>
              <w:tc>
                <w:tcPr>
                  <w:tcW w:w="3347" w:type="pct"/>
                  <w:vAlign w:val="center"/>
                </w:tcPr>
                <w:p>
                  <w:pPr>
                    <w:adjustRightInd w:val="0"/>
                    <w:spacing w:line="276" w:lineRule="auto"/>
                    <w:jc w:val="left"/>
                    <w:rPr>
                      <w:szCs w:val="21"/>
                    </w:rPr>
                  </w:pPr>
                  <w:r>
                    <w:rPr>
                      <w:rFonts w:hint="eastAsia"/>
                      <w:szCs w:val="21"/>
                    </w:rPr>
                    <w:t>优化区内空间布局。在严守生态红线的基础上逐步增加生态空间，加强太湖流域保护区、饮用水水源保护区、风景名胜区、重要湿地、基本农田保护区等生态敏感区的环境管控，确保区域生态安全和生态系统稳定。通过采取“退二进三”</w:t>
                  </w:r>
                  <w:r>
                    <w:rPr>
                      <w:szCs w:val="21"/>
                    </w:rPr>
                    <w:t xml:space="preserve"> </w:t>
                  </w:r>
                  <w:r>
                    <w:rPr>
                      <w:rFonts w:hint="eastAsia"/>
                      <w:szCs w:val="21"/>
                    </w:rPr>
                    <w:t>等用地调整策略，优化区内布局，解决部分片区居住与工业布局混杂的问题。逐步减小化工、钢铁等产业规模和用地规模。</w:t>
                  </w:r>
                </w:p>
              </w:tc>
              <w:tc>
                <w:tcPr>
                  <w:tcW w:w="794" w:type="pct"/>
                  <w:vAlign w:val="center"/>
                </w:tcPr>
                <w:p>
                  <w:pPr>
                    <w:spacing w:line="276" w:lineRule="auto"/>
                    <w:ind w:left="52" w:right="37"/>
                    <w:jc w:val="center"/>
                    <w:rPr>
                      <w:szCs w:val="21"/>
                    </w:rPr>
                  </w:pPr>
                  <w:r>
                    <w:rPr>
                      <w:szCs w:val="21"/>
                    </w:rPr>
                    <w:t>本项目属于太湖</w:t>
                  </w:r>
                  <w:r>
                    <w:rPr>
                      <w:rFonts w:hint="eastAsia"/>
                      <w:szCs w:val="21"/>
                    </w:rPr>
                    <w:t>一级</w:t>
                  </w:r>
                  <w:r>
                    <w:rPr>
                      <w:szCs w:val="21"/>
                    </w:rPr>
                    <w:t>保护区</w:t>
                  </w:r>
                  <w:r>
                    <w:rPr>
                      <w:rFonts w:hint="eastAsia"/>
                      <w:szCs w:val="21"/>
                    </w:rPr>
                    <w:t>，</w:t>
                  </w:r>
                  <w:r>
                    <w:rPr>
                      <w:szCs w:val="21"/>
                    </w:rPr>
                    <w:t>项目</w:t>
                  </w:r>
                  <w:r>
                    <w:rPr>
                      <w:rFonts w:hint="eastAsia"/>
                      <w:szCs w:val="21"/>
                    </w:rPr>
                    <w:t>周边无敏感区。</w:t>
                  </w:r>
                </w:p>
              </w:tc>
              <w:tc>
                <w:tcPr>
                  <w:tcW w:w="485" w:type="pct"/>
                  <w:vAlign w:val="center"/>
                </w:tcPr>
                <w:p>
                  <w:pPr>
                    <w:spacing w:line="276" w:lineRule="auto"/>
                    <w:ind w:right="63"/>
                    <w:jc w:val="center"/>
                    <w:rPr>
                      <w:szCs w:val="21"/>
                    </w:rPr>
                  </w:pPr>
                  <w:r>
                    <w:rPr>
                      <w:szCs w:val="21"/>
                    </w:rPr>
                    <w:t>相符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before="148" w:line="276" w:lineRule="auto"/>
                    <w:ind w:left="17"/>
                    <w:jc w:val="center"/>
                    <w:rPr>
                      <w:szCs w:val="21"/>
                    </w:rPr>
                  </w:pPr>
                  <w:r>
                    <w:rPr>
                      <w:szCs w:val="21"/>
                    </w:rPr>
                    <w:t>3</w:t>
                  </w:r>
                </w:p>
              </w:tc>
              <w:tc>
                <w:tcPr>
                  <w:tcW w:w="3347" w:type="pct"/>
                  <w:vAlign w:val="center"/>
                </w:tcPr>
                <w:p>
                  <w:pPr>
                    <w:adjustRightInd w:val="0"/>
                    <w:spacing w:line="276" w:lineRule="auto"/>
                    <w:jc w:val="left"/>
                    <w:rPr>
                      <w:szCs w:val="21"/>
                    </w:rPr>
                  </w:pPr>
                  <w:r>
                    <w:rPr>
                      <w:rFonts w:hint="eastAsia"/>
                      <w:szCs w:val="21"/>
                    </w:rPr>
                    <w:t>加快推进区内产业转型升级，制定实施方案，逐步淘汰现有不符合区域发展定位和环境保护要求的企业。结合区域大气污染防治目标要求，进一步优化区内能源结构，逐步提升清洁能源使用率。推进技术研发型、创新型产业发展，提升产业的技术水平和高新区产业的循环化水平。</w:t>
                  </w:r>
                </w:p>
              </w:tc>
              <w:tc>
                <w:tcPr>
                  <w:tcW w:w="794" w:type="pct"/>
                  <w:vAlign w:val="center"/>
                </w:tcPr>
                <w:p>
                  <w:pPr>
                    <w:spacing w:line="276" w:lineRule="auto"/>
                    <w:ind w:left="52" w:right="37"/>
                    <w:jc w:val="center"/>
                    <w:rPr>
                      <w:szCs w:val="21"/>
                    </w:rPr>
                  </w:pPr>
                  <w:r>
                    <w:rPr>
                      <w:szCs w:val="21"/>
                    </w:rPr>
                    <w:t>本项目</w:t>
                  </w:r>
                  <w:r>
                    <w:rPr>
                      <w:rFonts w:hint="eastAsia"/>
                      <w:szCs w:val="21"/>
                    </w:rPr>
                    <w:t>符合苏州高新区区域发展定位和环境保护要求。</w:t>
                  </w:r>
                </w:p>
              </w:tc>
              <w:tc>
                <w:tcPr>
                  <w:tcW w:w="485" w:type="pct"/>
                  <w:vAlign w:val="center"/>
                </w:tcPr>
                <w:p>
                  <w:pPr>
                    <w:spacing w:before="134" w:line="276" w:lineRule="auto"/>
                    <w:ind w:right="63"/>
                    <w:jc w:val="center"/>
                    <w:rPr>
                      <w:szCs w:val="21"/>
                    </w:rPr>
                  </w:pPr>
                  <w:r>
                    <w:rPr>
                      <w:szCs w:val="21"/>
                    </w:rPr>
                    <w:t>相符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before="142" w:line="276" w:lineRule="auto"/>
                    <w:ind w:left="17"/>
                    <w:jc w:val="center"/>
                    <w:rPr>
                      <w:szCs w:val="21"/>
                    </w:rPr>
                  </w:pPr>
                  <w:r>
                    <w:rPr>
                      <w:szCs w:val="21"/>
                    </w:rPr>
                    <w:t>4</w:t>
                  </w:r>
                </w:p>
              </w:tc>
              <w:tc>
                <w:tcPr>
                  <w:tcW w:w="3347" w:type="pct"/>
                  <w:vAlign w:val="center"/>
                </w:tcPr>
                <w:p>
                  <w:pPr>
                    <w:adjustRightInd w:val="0"/>
                    <w:spacing w:line="276" w:lineRule="auto"/>
                    <w:jc w:val="left"/>
                    <w:rPr>
                      <w:szCs w:val="21"/>
                    </w:rPr>
                  </w:pPr>
                  <w:r>
                    <w:rPr>
                      <w:rFonts w:hint="eastAsia"/>
                      <w:szCs w:val="21"/>
                    </w:rPr>
                    <w:t>落实污染物排放总量控制要求，采取有效措施减少二氧化硫、氮氧化物、挥发性有机物、化学需氧量、氨氮、总磷、总氮、重金属等污染物的排放量，切实改善区域环境质量。</w:t>
                  </w:r>
                </w:p>
              </w:tc>
              <w:tc>
                <w:tcPr>
                  <w:tcW w:w="794" w:type="pct"/>
                  <w:vAlign w:val="center"/>
                </w:tcPr>
                <w:p>
                  <w:pPr>
                    <w:adjustRightInd w:val="0"/>
                    <w:spacing w:line="276" w:lineRule="auto"/>
                    <w:jc w:val="left"/>
                    <w:rPr>
                      <w:szCs w:val="21"/>
                    </w:rPr>
                  </w:pPr>
                  <w:r>
                    <w:rPr>
                      <w:szCs w:val="21"/>
                    </w:rPr>
                    <w:t>本项目无生产废水排放</w:t>
                  </w:r>
                </w:p>
              </w:tc>
              <w:tc>
                <w:tcPr>
                  <w:tcW w:w="485" w:type="pct"/>
                  <w:vAlign w:val="center"/>
                </w:tcPr>
                <w:p>
                  <w:pPr>
                    <w:spacing w:before="126" w:line="276" w:lineRule="auto"/>
                    <w:ind w:right="63"/>
                    <w:jc w:val="center"/>
                    <w:rPr>
                      <w:szCs w:val="21"/>
                    </w:rPr>
                  </w:pPr>
                  <w:r>
                    <w:rPr>
                      <w:szCs w:val="21"/>
                    </w:rPr>
                    <w:t>相符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line="276" w:lineRule="auto"/>
                    <w:jc w:val="center"/>
                    <w:rPr>
                      <w:szCs w:val="21"/>
                    </w:rPr>
                  </w:pPr>
                  <w:r>
                    <w:rPr>
                      <w:rFonts w:hint="eastAsia"/>
                      <w:szCs w:val="21"/>
                    </w:rPr>
                    <w:t>5</w:t>
                  </w:r>
                </w:p>
              </w:tc>
              <w:tc>
                <w:tcPr>
                  <w:tcW w:w="3347" w:type="pct"/>
                  <w:vAlign w:val="center"/>
                </w:tcPr>
                <w:p>
                  <w:pPr>
                    <w:adjustRightInd w:val="0"/>
                    <w:spacing w:line="276" w:lineRule="auto"/>
                    <w:jc w:val="left"/>
                    <w:rPr>
                      <w:szCs w:val="21"/>
                    </w:rPr>
                  </w:pPr>
                  <w:r>
                    <w:rPr>
                      <w:rFonts w:hint="eastAsia"/>
                      <w:szCs w:val="21"/>
                    </w:rPr>
                    <w:t>组织制定生态环境保护规划，统筹考虑区内污染物排放、生态恢复与建设、环境风险防范、环境管理等事宜。建立健全区域环境风险防范体系和生态安全保障体系，加强区内重要环境风险源的管控。</w:t>
                  </w:r>
                </w:p>
              </w:tc>
              <w:tc>
                <w:tcPr>
                  <w:tcW w:w="794" w:type="pct"/>
                  <w:vAlign w:val="center"/>
                </w:tcPr>
                <w:p>
                  <w:pPr>
                    <w:spacing w:line="276" w:lineRule="auto"/>
                    <w:ind w:right="-15"/>
                    <w:jc w:val="center"/>
                    <w:rPr>
                      <w:szCs w:val="21"/>
                    </w:rPr>
                  </w:pPr>
                  <w:r>
                    <w:rPr>
                      <w:szCs w:val="21"/>
                    </w:rPr>
                    <w:t>不涉及</w:t>
                  </w:r>
                </w:p>
              </w:tc>
              <w:tc>
                <w:tcPr>
                  <w:tcW w:w="485" w:type="pct"/>
                  <w:vAlign w:val="center"/>
                </w:tcPr>
                <w:p>
                  <w:pPr>
                    <w:spacing w:before="1" w:line="276" w:lineRule="auto"/>
                    <w:jc w:val="left"/>
                    <w:rPr>
                      <w:szCs w:val="21"/>
                    </w:rPr>
                  </w:pPr>
                  <w:r>
                    <w:rPr>
                      <w:rFonts w:hint="eastAsia"/>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line="276" w:lineRule="auto"/>
                    <w:jc w:val="center"/>
                    <w:rPr>
                      <w:szCs w:val="21"/>
                    </w:rPr>
                  </w:pPr>
                  <w:r>
                    <w:rPr>
                      <w:rFonts w:hint="eastAsia"/>
                      <w:szCs w:val="21"/>
                    </w:rPr>
                    <w:t>6</w:t>
                  </w:r>
                </w:p>
              </w:tc>
              <w:tc>
                <w:tcPr>
                  <w:tcW w:w="3347" w:type="pct"/>
                  <w:vAlign w:val="center"/>
                </w:tcPr>
                <w:p>
                  <w:pPr>
                    <w:spacing w:line="276" w:lineRule="auto"/>
                    <w:ind w:left="8" w:right="117" w:firstLine="14"/>
                    <w:rPr>
                      <w:szCs w:val="21"/>
                    </w:rPr>
                  </w:pPr>
                  <w:r>
                    <w:rPr>
                      <w:szCs w:val="21"/>
                    </w:rPr>
                    <w:t>建设灰霾实时监测预警预报系统，根据敏感区精确的大气气溶胶数据及环境监测数据，发布灰霾预警，并形成气象、环保、交通、交警等部门联动响应机制。制定重污染天气应急预案并向社会公布，成立大气防治及重污染应急工作协调小组，每年至少定期开展一次应急演练，并依据重污染天气的预警等级，迅速启动应急预案，采取工业污染源限排限产、建筑工地停止施工、机动车限行等应急控制措施，引导公众 做好健康防护。</w:t>
                  </w:r>
                </w:p>
              </w:tc>
              <w:tc>
                <w:tcPr>
                  <w:tcW w:w="794" w:type="pct"/>
                  <w:vAlign w:val="center"/>
                </w:tcPr>
                <w:p>
                  <w:pPr>
                    <w:spacing w:before="130" w:line="276" w:lineRule="auto"/>
                    <w:ind w:left="8" w:right="-15" w:hanging="3"/>
                    <w:jc w:val="center"/>
                    <w:rPr>
                      <w:szCs w:val="21"/>
                    </w:rPr>
                  </w:pPr>
                  <w:r>
                    <w:rPr>
                      <w:szCs w:val="21"/>
                    </w:rPr>
                    <w:t>不涉及</w:t>
                  </w:r>
                </w:p>
              </w:tc>
              <w:tc>
                <w:tcPr>
                  <w:tcW w:w="485" w:type="pct"/>
                  <w:vAlign w:val="center"/>
                </w:tcPr>
                <w:p>
                  <w:pPr>
                    <w:spacing w:before="163" w:line="276" w:lineRule="auto"/>
                    <w:jc w:val="left"/>
                    <w:rPr>
                      <w:szCs w:val="21"/>
                    </w:rPr>
                  </w:pPr>
                  <w:r>
                    <w:rPr>
                      <w:rFonts w:hint="eastAsia"/>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line="276" w:lineRule="auto"/>
                    <w:jc w:val="center"/>
                    <w:rPr>
                      <w:szCs w:val="21"/>
                    </w:rPr>
                  </w:pPr>
                  <w:r>
                    <w:rPr>
                      <w:szCs w:val="21"/>
                    </w:rPr>
                    <w:t>7</w:t>
                  </w:r>
                </w:p>
              </w:tc>
              <w:tc>
                <w:tcPr>
                  <w:tcW w:w="3347" w:type="pct"/>
                  <w:vAlign w:val="center"/>
                </w:tcPr>
                <w:p>
                  <w:pPr>
                    <w:adjustRightInd w:val="0"/>
                    <w:spacing w:line="276" w:lineRule="auto"/>
                    <w:jc w:val="left"/>
                    <w:rPr>
                      <w:szCs w:val="21"/>
                    </w:rPr>
                  </w:pPr>
                  <w:r>
                    <w:rPr>
                      <w:rFonts w:hint="eastAsia"/>
                      <w:szCs w:val="21"/>
                    </w:rPr>
                    <w:t>建立健全长期稳定的环境监测体系。根据高新区功能分区、产业布局、重点企业分布、特征污染物的排放种类和状况、环境敏感目标分布等情况，建立包括环境空气、地表水、地下水、土壤等环境要素的监控体系，明确环保投资、实施时限、责任主体等。做好高新区内大气、水、土壤等环境的长期跟踪监测与管理，根据监测结</w:t>
                  </w:r>
                </w:p>
                <w:p>
                  <w:pPr>
                    <w:spacing w:line="276" w:lineRule="auto"/>
                    <w:ind w:right="5"/>
                    <w:rPr>
                      <w:szCs w:val="21"/>
                    </w:rPr>
                  </w:pPr>
                  <w:r>
                    <w:rPr>
                      <w:rFonts w:hint="eastAsia"/>
                      <w:szCs w:val="21"/>
                    </w:rPr>
                    <w:t>果适时优化调整《规划》。</w:t>
                  </w:r>
                </w:p>
              </w:tc>
              <w:tc>
                <w:tcPr>
                  <w:tcW w:w="794" w:type="pct"/>
                  <w:vAlign w:val="center"/>
                </w:tcPr>
                <w:p>
                  <w:pPr>
                    <w:spacing w:line="276" w:lineRule="auto"/>
                    <w:ind w:left="8" w:right="-15" w:firstLine="64"/>
                    <w:jc w:val="center"/>
                    <w:rPr>
                      <w:szCs w:val="21"/>
                    </w:rPr>
                  </w:pPr>
                  <w:r>
                    <w:rPr>
                      <w:szCs w:val="21"/>
                    </w:rPr>
                    <w:t>不涉及</w:t>
                  </w:r>
                </w:p>
              </w:tc>
              <w:tc>
                <w:tcPr>
                  <w:tcW w:w="485" w:type="pct"/>
                  <w:vAlign w:val="center"/>
                </w:tcPr>
                <w:p>
                  <w:pPr>
                    <w:spacing w:line="276" w:lineRule="auto"/>
                    <w:jc w:val="left"/>
                    <w:rPr>
                      <w:szCs w:val="21"/>
                    </w:rPr>
                  </w:pPr>
                  <w:r>
                    <w:rPr>
                      <w:rFonts w:hint="eastAsia"/>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374" w:type="pct"/>
                  <w:vAlign w:val="center"/>
                </w:tcPr>
                <w:p>
                  <w:pPr>
                    <w:spacing w:before="191" w:line="276" w:lineRule="auto"/>
                    <w:jc w:val="center"/>
                    <w:rPr>
                      <w:szCs w:val="21"/>
                    </w:rPr>
                  </w:pPr>
                  <w:r>
                    <w:rPr>
                      <w:szCs w:val="21"/>
                    </w:rPr>
                    <w:t>8</w:t>
                  </w:r>
                </w:p>
              </w:tc>
              <w:tc>
                <w:tcPr>
                  <w:tcW w:w="3347" w:type="pct"/>
                  <w:vAlign w:val="center"/>
                </w:tcPr>
                <w:p>
                  <w:pPr>
                    <w:adjustRightInd w:val="0"/>
                    <w:spacing w:line="276" w:lineRule="auto"/>
                    <w:jc w:val="left"/>
                    <w:rPr>
                      <w:szCs w:val="21"/>
                    </w:rPr>
                  </w:pPr>
                  <w:r>
                    <w:rPr>
                      <w:rFonts w:hint="eastAsia"/>
                      <w:szCs w:val="21"/>
                    </w:rPr>
                    <w:t>完善区域环境基础设施建设，加快推进建设热电厂超低排放改造工程、污水处理厂中水回用工程等；加强固体废弃物的集中处理处置，危险废物交由有资质的单位统一收集处理。</w:t>
                  </w:r>
                </w:p>
              </w:tc>
              <w:tc>
                <w:tcPr>
                  <w:tcW w:w="794" w:type="pct"/>
                  <w:vAlign w:val="center"/>
                </w:tcPr>
                <w:p>
                  <w:pPr>
                    <w:adjustRightInd w:val="0"/>
                    <w:spacing w:line="276" w:lineRule="auto"/>
                    <w:jc w:val="left"/>
                    <w:rPr>
                      <w:szCs w:val="21"/>
                    </w:rPr>
                  </w:pPr>
                  <w:r>
                    <w:rPr>
                      <w:szCs w:val="21"/>
                    </w:rPr>
                    <w:t>本项目</w:t>
                  </w:r>
                  <w:r>
                    <w:rPr>
                      <w:rFonts w:hint="eastAsia"/>
                      <w:szCs w:val="21"/>
                    </w:rPr>
                    <w:t>危险废物交由有资质的单位统一收集处理。</w:t>
                  </w:r>
                </w:p>
              </w:tc>
              <w:tc>
                <w:tcPr>
                  <w:tcW w:w="485" w:type="pct"/>
                  <w:vAlign w:val="center"/>
                </w:tcPr>
                <w:p>
                  <w:pPr>
                    <w:spacing w:line="276" w:lineRule="auto"/>
                    <w:jc w:val="left"/>
                    <w:rPr>
                      <w:szCs w:val="21"/>
                    </w:rPr>
                  </w:pPr>
                  <w:r>
                    <w:rPr>
                      <w:szCs w:val="21"/>
                    </w:rPr>
                    <w:t>相符</w:t>
                  </w:r>
                </w:p>
              </w:tc>
            </w:tr>
          </w:tbl>
          <w:p>
            <w:pPr>
              <w:widowControl/>
              <w:spacing w:line="360" w:lineRule="auto"/>
              <w:ind w:firstLine="480" w:firstLineChars="200"/>
              <w:jc w:val="left"/>
              <w:rPr>
                <w:kern w:val="0"/>
                <w:sz w:val="24"/>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15" w:hRule="atLeast"/>
          <w:jc w:val="center"/>
        </w:trPr>
        <w:tc>
          <w:tcPr>
            <w:tcW w:w="1485" w:type="dxa"/>
            <w:vAlign w:val="center"/>
          </w:tcPr>
          <w:p>
            <w:pPr>
              <w:autoSpaceDE w:val="0"/>
              <w:autoSpaceDN w:val="0"/>
              <w:adjustRightInd w:val="0"/>
              <w:snapToGrid w:val="0"/>
              <w:jc w:val="center"/>
              <w:rPr>
                <w:kern w:val="0"/>
                <w:szCs w:val="21"/>
                <w:highlight w:val="yellow"/>
              </w:rPr>
            </w:pPr>
            <w:r>
              <w:rPr>
                <w:kern w:val="0"/>
                <w:sz w:val="24"/>
              </w:rPr>
              <w:t>其他符合性分析</w:t>
            </w:r>
          </w:p>
        </w:tc>
        <w:tc>
          <w:tcPr>
            <w:tcW w:w="8146" w:type="dxa"/>
            <w:gridSpan w:val="3"/>
            <w:vAlign w:val="center"/>
          </w:tcPr>
          <w:p>
            <w:pPr>
              <w:tabs>
                <w:tab w:val="left" w:pos="0"/>
              </w:tabs>
              <w:spacing w:line="360" w:lineRule="auto"/>
              <w:rPr>
                <w:b/>
                <w:sz w:val="24"/>
              </w:rPr>
            </w:pPr>
            <w:r>
              <w:rPr>
                <w:b/>
                <w:sz w:val="24"/>
              </w:rPr>
              <w:t>1、“三线一单”相符性分析</w:t>
            </w:r>
          </w:p>
          <w:p>
            <w:pPr>
              <w:tabs>
                <w:tab w:val="left" w:pos="0"/>
              </w:tabs>
              <w:spacing w:line="360" w:lineRule="auto"/>
              <w:ind w:firstLine="480" w:firstLineChars="200"/>
              <w:rPr>
                <w:bCs/>
                <w:sz w:val="24"/>
              </w:rPr>
            </w:pPr>
            <w:r>
              <w:rPr>
                <w:bCs/>
                <w:sz w:val="24"/>
              </w:rPr>
              <w:t>（1）生态红线</w:t>
            </w:r>
          </w:p>
          <w:p>
            <w:pPr>
              <w:tabs>
                <w:tab w:val="left" w:pos="0"/>
              </w:tabs>
              <w:spacing w:line="360" w:lineRule="auto"/>
              <w:ind w:firstLine="530" w:firstLineChars="221"/>
              <w:jc w:val="left"/>
              <w:rPr>
                <w:sz w:val="24"/>
              </w:rPr>
            </w:pPr>
            <w:r>
              <w:rPr>
                <w:sz w:val="24"/>
              </w:rPr>
              <w:t>本项目位于</w:t>
            </w:r>
            <w:r>
              <w:rPr>
                <w:bCs/>
                <w:sz w:val="24"/>
              </w:rPr>
              <w:t>苏州高新区</w:t>
            </w:r>
            <w:r>
              <w:rPr>
                <w:rFonts w:hint="eastAsia"/>
                <w:bCs/>
                <w:sz w:val="24"/>
              </w:rPr>
              <w:t>金沙江路158号12幢</w:t>
            </w:r>
            <w:r>
              <w:rPr>
                <w:sz w:val="24"/>
              </w:rPr>
              <w:t>，根据《江苏省生态空间管控区域规划》（苏政发〔2020〕1号）、《江苏省国家级生态保护红线规划》（苏政发〔2018〕74 号），本项目与附近的生态空间管控区域相对位置如下表所示。</w:t>
            </w:r>
          </w:p>
          <w:p>
            <w:pPr>
              <w:tabs>
                <w:tab w:val="left" w:pos="0"/>
              </w:tabs>
              <w:spacing w:before="60"/>
              <w:jc w:val="center"/>
              <w:rPr>
                <w:b/>
                <w:sz w:val="24"/>
              </w:rPr>
            </w:pPr>
            <w:r>
              <w:rPr>
                <w:b/>
                <w:sz w:val="24"/>
              </w:rPr>
              <w:t>表1-3  本项目与附近江苏省生态空间管控区域相对位置及距离</w:t>
            </w:r>
          </w:p>
          <w:tbl>
            <w:tblPr>
              <w:tblStyle w:val="20"/>
              <w:tblW w:w="8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076"/>
              <w:gridCol w:w="2081"/>
              <w:gridCol w:w="2077"/>
              <w:gridCol w:w="850"/>
              <w:gridCol w:w="828"/>
              <w:gridCol w:w="543"/>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2" w:hRule="atLeast"/>
                <w:jc w:val="center"/>
              </w:trPr>
              <w:tc>
                <w:tcPr>
                  <w:tcW w:w="1076" w:type="dxa"/>
                  <w:vAlign w:val="center"/>
                </w:tcPr>
                <w:p>
                  <w:pPr>
                    <w:pStyle w:val="38"/>
                    <w:spacing w:beforeLines="0" w:afterLines="0" w:line="240" w:lineRule="auto"/>
                    <w:ind w:firstLine="0"/>
                    <w:rPr>
                      <w:rFonts w:ascii="Times New Roman" w:eastAsia="宋体"/>
                      <w:b/>
                      <w:bCs/>
                      <w:spacing w:val="0"/>
                      <w:szCs w:val="21"/>
                    </w:rPr>
                  </w:pPr>
                  <w:r>
                    <w:rPr>
                      <w:rFonts w:ascii="Times New Roman" w:eastAsia="宋体"/>
                      <w:b/>
                      <w:bCs/>
                      <w:spacing w:val="0"/>
                      <w:szCs w:val="21"/>
                    </w:rPr>
                    <w:t>生态空间保护区域名称</w:t>
                  </w:r>
                </w:p>
              </w:tc>
              <w:tc>
                <w:tcPr>
                  <w:tcW w:w="2081" w:type="dxa"/>
                  <w:vAlign w:val="center"/>
                </w:tcPr>
                <w:p>
                  <w:pPr>
                    <w:pStyle w:val="38"/>
                    <w:spacing w:beforeLines="0" w:afterLines="0" w:line="240" w:lineRule="auto"/>
                    <w:ind w:firstLine="0"/>
                    <w:rPr>
                      <w:rFonts w:ascii="Times New Roman" w:eastAsia="宋体"/>
                      <w:b/>
                      <w:bCs/>
                      <w:spacing w:val="0"/>
                      <w:szCs w:val="21"/>
                    </w:rPr>
                  </w:pPr>
                  <w:r>
                    <w:rPr>
                      <w:rFonts w:ascii="Times New Roman" w:eastAsia="宋体"/>
                      <w:b/>
                      <w:bCs/>
                      <w:spacing w:val="0"/>
                      <w:szCs w:val="21"/>
                    </w:rPr>
                    <w:t>国家级生态保护红线范围</w:t>
                  </w:r>
                </w:p>
              </w:tc>
              <w:tc>
                <w:tcPr>
                  <w:tcW w:w="2077" w:type="dxa"/>
                  <w:vAlign w:val="center"/>
                </w:tcPr>
                <w:p>
                  <w:pPr>
                    <w:pStyle w:val="38"/>
                    <w:spacing w:beforeLines="0" w:afterLines="0" w:line="240" w:lineRule="auto"/>
                    <w:ind w:firstLine="0"/>
                    <w:rPr>
                      <w:rFonts w:ascii="Times New Roman" w:eastAsia="宋体"/>
                      <w:b/>
                      <w:bCs/>
                      <w:spacing w:val="0"/>
                      <w:szCs w:val="21"/>
                    </w:rPr>
                  </w:pPr>
                  <w:r>
                    <w:rPr>
                      <w:rFonts w:ascii="Times New Roman" w:eastAsia="宋体"/>
                      <w:b/>
                      <w:bCs/>
                      <w:spacing w:val="0"/>
                      <w:szCs w:val="21"/>
                    </w:rPr>
                    <w:t>生态空间管控区域范围</w:t>
                  </w:r>
                </w:p>
              </w:tc>
              <w:tc>
                <w:tcPr>
                  <w:tcW w:w="850" w:type="dxa"/>
                  <w:vAlign w:val="center"/>
                </w:tcPr>
                <w:p>
                  <w:pPr>
                    <w:pStyle w:val="38"/>
                    <w:spacing w:beforeLines="0" w:afterLines="0" w:line="240" w:lineRule="auto"/>
                    <w:ind w:firstLine="0"/>
                    <w:rPr>
                      <w:rFonts w:ascii="Times New Roman" w:eastAsia="宋体"/>
                      <w:b/>
                      <w:bCs/>
                      <w:spacing w:val="0"/>
                      <w:szCs w:val="21"/>
                    </w:rPr>
                  </w:pPr>
                  <w:r>
                    <w:rPr>
                      <w:rFonts w:ascii="Times New Roman" w:eastAsia="宋体"/>
                      <w:b/>
                      <w:bCs/>
                      <w:spacing w:val="0"/>
                      <w:szCs w:val="21"/>
                    </w:rPr>
                    <w:t>国家级生态保护红线面积/km</w:t>
                  </w:r>
                  <w:r>
                    <w:rPr>
                      <w:rFonts w:ascii="Times New Roman" w:eastAsia="宋体"/>
                      <w:b/>
                      <w:bCs/>
                      <w:spacing w:val="0"/>
                      <w:szCs w:val="21"/>
                      <w:vertAlign w:val="superscript"/>
                    </w:rPr>
                    <w:t>2</w:t>
                  </w:r>
                </w:p>
              </w:tc>
              <w:tc>
                <w:tcPr>
                  <w:tcW w:w="828" w:type="dxa"/>
                  <w:vAlign w:val="center"/>
                </w:tcPr>
                <w:p>
                  <w:pPr>
                    <w:pStyle w:val="38"/>
                    <w:spacing w:beforeLines="0" w:afterLines="0" w:line="240" w:lineRule="auto"/>
                    <w:ind w:firstLine="0"/>
                    <w:rPr>
                      <w:rFonts w:ascii="Times New Roman" w:eastAsia="宋体"/>
                      <w:b/>
                      <w:bCs/>
                      <w:spacing w:val="0"/>
                      <w:szCs w:val="21"/>
                    </w:rPr>
                  </w:pPr>
                  <w:r>
                    <w:rPr>
                      <w:rFonts w:ascii="Times New Roman" w:eastAsia="宋体"/>
                      <w:b/>
                      <w:bCs/>
                      <w:spacing w:val="0"/>
                      <w:szCs w:val="21"/>
                    </w:rPr>
                    <w:t>生态空间管控区域面积/km</w:t>
                  </w:r>
                  <w:r>
                    <w:rPr>
                      <w:rFonts w:ascii="Times New Roman" w:eastAsia="宋体"/>
                      <w:b/>
                      <w:bCs/>
                      <w:spacing w:val="0"/>
                      <w:szCs w:val="21"/>
                      <w:vertAlign w:val="superscript"/>
                    </w:rPr>
                    <w:t>2</w:t>
                  </w:r>
                </w:p>
              </w:tc>
              <w:tc>
                <w:tcPr>
                  <w:tcW w:w="543" w:type="dxa"/>
                  <w:vAlign w:val="center"/>
                </w:tcPr>
                <w:p>
                  <w:pPr>
                    <w:pStyle w:val="38"/>
                    <w:spacing w:beforeLines="0" w:afterLines="0" w:line="240" w:lineRule="auto"/>
                    <w:ind w:firstLine="0"/>
                    <w:rPr>
                      <w:rFonts w:ascii="Times New Roman" w:eastAsia="宋体"/>
                      <w:b/>
                      <w:bCs/>
                      <w:spacing w:val="0"/>
                      <w:szCs w:val="21"/>
                    </w:rPr>
                  </w:pPr>
                  <w:r>
                    <w:rPr>
                      <w:rFonts w:ascii="Times New Roman" w:eastAsia="宋体"/>
                      <w:b/>
                      <w:bCs/>
                      <w:spacing w:val="0"/>
                      <w:szCs w:val="21"/>
                    </w:rPr>
                    <w:t>方位</w:t>
                  </w:r>
                </w:p>
              </w:tc>
              <w:tc>
                <w:tcPr>
                  <w:tcW w:w="680" w:type="dxa"/>
                  <w:vAlign w:val="center"/>
                </w:tcPr>
                <w:p>
                  <w:pPr>
                    <w:pStyle w:val="38"/>
                    <w:spacing w:beforeLines="0" w:afterLines="0" w:line="240" w:lineRule="auto"/>
                    <w:ind w:firstLine="0"/>
                    <w:rPr>
                      <w:rFonts w:ascii="Times New Roman" w:eastAsia="宋体"/>
                      <w:b/>
                      <w:bCs/>
                      <w:spacing w:val="0"/>
                      <w:szCs w:val="21"/>
                    </w:rPr>
                  </w:pPr>
                  <w:r>
                    <w:rPr>
                      <w:rFonts w:ascii="Times New Roman" w:eastAsia="宋体"/>
                      <w:b/>
                      <w:bCs/>
                      <w:spacing w:val="0"/>
                      <w:szCs w:val="21"/>
                    </w:rPr>
                    <w:t>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3" w:hRule="atLeast"/>
                <w:jc w:val="center"/>
              </w:trPr>
              <w:tc>
                <w:tcPr>
                  <w:tcW w:w="1076"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lang w:bidi="ar"/>
                    </w:rPr>
                    <w:t>江苏大阳山国家级森林公园</w:t>
                  </w:r>
                </w:p>
              </w:tc>
              <w:tc>
                <w:tcPr>
                  <w:tcW w:w="2081"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lang w:bidi="ar"/>
                    </w:rPr>
                    <w:t>江苏大阳山国家级森林公园总体规划中确定的范围（包括生态保育区和核心景观区等）</w:t>
                  </w:r>
                </w:p>
              </w:tc>
              <w:tc>
                <w:tcPr>
                  <w:tcW w:w="2077"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lang w:bidi="ar"/>
                    </w:rPr>
                    <w:t>/</w:t>
                  </w:r>
                </w:p>
              </w:tc>
              <w:tc>
                <w:tcPr>
                  <w:tcW w:w="850"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10.30</w:t>
                  </w:r>
                </w:p>
              </w:tc>
              <w:tc>
                <w:tcPr>
                  <w:tcW w:w="828"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w:t>
                  </w:r>
                </w:p>
              </w:tc>
              <w:tc>
                <w:tcPr>
                  <w:tcW w:w="543"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东南</w:t>
                  </w:r>
                </w:p>
              </w:tc>
              <w:tc>
                <w:tcPr>
                  <w:tcW w:w="680" w:type="dxa"/>
                  <w:vAlign w:val="center"/>
                </w:tcPr>
                <w:p>
                  <w:pPr>
                    <w:pStyle w:val="38"/>
                    <w:spacing w:beforeLines="0" w:afterLines="0" w:line="240" w:lineRule="auto"/>
                    <w:ind w:firstLine="0"/>
                    <w:rPr>
                      <w:rFonts w:ascii="Times New Roman" w:eastAsia="宋体"/>
                      <w:spacing w:val="0"/>
                      <w:szCs w:val="21"/>
                    </w:rPr>
                  </w:pPr>
                  <w:r>
                    <w:rPr>
                      <w:rFonts w:hint="eastAsia" w:ascii="Times New Roman" w:eastAsia="宋体"/>
                      <w:spacing w:val="0"/>
                      <w:szCs w:val="21"/>
                    </w:rPr>
                    <w:t>49</w:t>
                  </w:r>
                  <w:r>
                    <w:rPr>
                      <w:rFonts w:ascii="Times New Roman" w:eastAsia="宋体"/>
                      <w:spacing w:val="0"/>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27" w:hRule="atLeast"/>
                <w:jc w:val="center"/>
              </w:trPr>
              <w:tc>
                <w:tcPr>
                  <w:tcW w:w="1076"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太湖金墅港饮用水水源保护区</w:t>
                  </w:r>
                </w:p>
              </w:tc>
              <w:tc>
                <w:tcPr>
                  <w:tcW w:w="2081"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lang w:bidi="ar"/>
                    </w:rPr>
                    <w:t>一级保护区：以2个水厂取水口（120°22'31.198"E，31°22'49.644"N；120°22'37.642"E，31°22'42.122"N）为中心，半径为500米的区域范围。二级保护区：一级保护区外延2000米的水域范围和一级保护区边界到太湖防洪大堤陆域范围</w:t>
                  </w:r>
                </w:p>
              </w:tc>
              <w:tc>
                <w:tcPr>
                  <w:tcW w:w="2077"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w:t>
                  </w:r>
                </w:p>
              </w:tc>
              <w:tc>
                <w:tcPr>
                  <w:tcW w:w="850"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14.84</w:t>
                  </w:r>
                </w:p>
              </w:tc>
              <w:tc>
                <w:tcPr>
                  <w:tcW w:w="828"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w:t>
                  </w:r>
                </w:p>
              </w:tc>
              <w:tc>
                <w:tcPr>
                  <w:tcW w:w="543" w:type="dxa"/>
                  <w:vAlign w:val="center"/>
                </w:tcPr>
                <w:p>
                  <w:pPr>
                    <w:pStyle w:val="38"/>
                    <w:spacing w:beforeLines="0" w:afterLines="0" w:line="240" w:lineRule="auto"/>
                    <w:ind w:firstLine="0"/>
                    <w:rPr>
                      <w:rFonts w:ascii="Times New Roman" w:eastAsia="宋体"/>
                      <w:spacing w:val="0"/>
                      <w:szCs w:val="21"/>
                    </w:rPr>
                  </w:pPr>
                  <w:r>
                    <w:rPr>
                      <w:rFonts w:hint="eastAsia" w:ascii="Times New Roman" w:eastAsia="宋体"/>
                      <w:spacing w:val="0"/>
                      <w:szCs w:val="21"/>
                    </w:rPr>
                    <w:t>北</w:t>
                  </w:r>
                </w:p>
              </w:tc>
              <w:tc>
                <w:tcPr>
                  <w:tcW w:w="680" w:type="dxa"/>
                  <w:vAlign w:val="center"/>
                </w:tcPr>
                <w:p>
                  <w:pPr>
                    <w:pStyle w:val="38"/>
                    <w:spacing w:beforeLines="0" w:afterLines="0" w:line="240" w:lineRule="auto"/>
                    <w:ind w:firstLine="0"/>
                    <w:rPr>
                      <w:rFonts w:ascii="Times New Roman" w:eastAsia="宋体"/>
                      <w:spacing w:val="0"/>
                      <w:szCs w:val="21"/>
                    </w:rPr>
                  </w:pPr>
                  <w:r>
                    <w:rPr>
                      <w:rFonts w:hint="eastAsia" w:ascii="Times New Roman" w:eastAsia="宋体"/>
                      <w:spacing w:val="0"/>
                      <w:szCs w:val="21"/>
                    </w:rPr>
                    <w:t>20</w:t>
                  </w:r>
                  <w:r>
                    <w:rPr>
                      <w:rFonts w:ascii="Times New Roman" w:eastAsia="宋体"/>
                      <w:spacing w:val="0"/>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68" w:hRule="atLeast"/>
                <w:jc w:val="center"/>
              </w:trPr>
              <w:tc>
                <w:tcPr>
                  <w:tcW w:w="1076"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lang w:bidi="ar"/>
                    </w:rPr>
                    <w:t>太湖（高新区）重要保护区</w:t>
                  </w:r>
                </w:p>
              </w:tc>
              <w:tc>
                <w:tcPr>
                  <w:tcW w:w="2081" w:type="dxa"/>
                  <w:vAlign w:val="center"/>
                </w:tcPr>
                <w:p>
                  <w:pPr>
                    <w:pStyle w:val="38"/>
                    <w:spacing w:beforeLines="0" w:afterLines="0" w:line="240" w:lineRule="auto"/>
                    <w:ind w:firstLine="0"/>
                    <w:rPr>
                      <w:rFonts w:ascii="Times New Roman" w:eastAsia="宋体"/>
                      <w:spacing w:val="0"/>
                      <w:szCs w:val="21"/>
                      <w:lang w:bidi="ar"/>
                    </w:rPr>
                  </w:pPr>
                  <w:r>
                    <w:rPr>
                      <w:rFonts w:ascii="Times New Roman" w:eastAsia="宋体"/>
                      <w:spacing w:val="0"/>
                      <w:szCs w:val="21"/>
                      <w:lang w:bidi="ar"/>
                    </w:rPr>
                    <w:t>/</w:t>
                  </w:r>
                </w:p>
              </w:tc>
              <w:tc>
                <w:tcPr>
                  <w:tcW w:w="2077"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lang w:bidi="ar"/>
                    </w:rPr>
                    <w:t>分为两部分：湖体和湖岸。湖体为高新区内太湖水体（不包括金墅港、镇湖饮用水源保护区和太湖梅鲚河蚬国家级水产种质资源保护区的核心区）。湖岸部分为高新区太湖大堤以东1公里生态林带范围</w:t>
                  </w:r>
                </w:p>
              </w:tc>
              <w:tc>
                <w:tcPr>
                  <w:tcW w:w="850"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w:t>
                  </w:r>
                </w:p>
              </w:tc>
              <w:tc>
                <w:tcPr>
                  <w:tcW w:w="828"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126.62</w:t>
                  </w:r>
                </w:p>
              </w:tc>
              <w:tc>
                <w:tcPr>
                  <w:tcW w:w="543" w:type="dxa"/>
                  <w:vAlign w:val="center"/>
                </w:tcPr>
                <w:p>
                  <w:pPr>
                    <w:pStyle w:val="38"/>
                    <w:spacing w:beforeLines="0" w:afterLines="0" w:line="240" w:lineRule="auto"/>
                    <w:ind w:firstLine="0"/>
                    <w:rPr>
                      <w:rFonts w:ascii="Times New Roman" w:eastAsia="宋体"/>
                      <w:spacing w:val="0"/>
                      <w:szCs w:val="21"/>
                    </w:rPr>
                  </w:pPr>
                  <w:r>
                    <w:rPr>
                      <w:rFonts w:ascii="Times New Roman" w:eastAsia="宋体"/>
                      <w:spacing w:val="0"/>
                      <w:szCs w:val="21"/>
                    </w:rPr>
                    <w:t>西北</w:t>
                  </w:r>
                </w:p>
              </w:tc>
              <w:tc>
                <w:tcPr>
                  <w:tcW w:w="680" w:type="dxa"/>
                  <w:vAlign w:val="center"/>
                </w:tcPr>
                <w:p>
                  <w:pPr>
                    <w:pStyle w:val="38"/>
                    <w:spacing w:beforeLines="0" w:afterLines="0" w:line="240" w:lineRule="auto"/>
                    <w:ind w:firstLine="0"/>
                    <w:rPr>
                      <w:rFonts w:ascii="Times New Roman" w:eastAsia="宋体"/>
                      <w:spacing w:val="0"/>
                      <w:szCs w:val="21"/>
                    </w:rPr>
                  </w:pPr>
                  <w:r>
                    <w:rPr>
                      <w:rFonts w:hint="eastAsia" w:ascii="Times New Roman" w:eastAsia="宋体"/>
                      <w:spacing w:val="0"/>
                      <w:szCs w:val="21"/>
                    </w:rPr>
                    <w:t>31</w:t>
                  </w:r>
                  <w:r>
                    <w:rPr>
                      <w:rFonts w:ascii="Times New Roman" w:eastAsia="宋体"/>
                      <w:spacing w:val="0"/>
                      <w:szCs w:val="21"/>
                    </w:rPr>
                    <w:t>00</w:t>
                  </w:r>
                </w:p>
              </w:tc>
            </w:tr>
          </w:tbl>
          <w:p>
            <w:pPr>
              <w:tabs>
                <w:tab w:val="left" w:pos="0"/>
              </w:tabs>
              <w:spacing w:line="360" w:lineRule="auto"/>
              <w:ind w:firstLine="480" w:firstLineChars="200"/>
              <w:jc w:val="left"/>
              <w:rPr>
                <w:bCs/>
                <w:sz w:val="24"/>
              </w:rPr>
            </w:pPr>
            <w:r>
              <w:rPr>
                <w:bCs/>
                <w:sz w:val="24"/>
              </w:rPr>
              <w:t>本项目不涉及苏州市范围内的生态红线区域，不在生态空间管控区域内，符合《江苏省生态空间管控区域规划》和《江苏省国家级生态保护红线规划》（苏政发〔2018〕74 号）的相关要求。</w:t>
            </w:r>
          </w:p>
          <w:p>
            <w:pPr>
              <w:tabs>
                <w:tab w:val="left" w:pos="0"/>
              </w:tabs>
              <w:spacing w:line="360" w:lineRule="auto"/>
              <w:ind w:firstLine="480" w:firstLineChars="200"/>
              <w:rPr>
                <w:bCs/>
                <w:sz w:val="24"/>
              </w:rPr>
            </w:pPr>
            <w:r>
              <w:rPr>
                <w:bCs/>
                <w:sz w:val="24"/>
              </w:rPr>
              <w:t>（2）环境质量底线</w:t>
            </w:r>
          </w:p>
          <w:p>
            <w:pPr>
              <w:spacing w:line="360" w:lineRule="auto"/>
              <w:ind w:firstLine="480" w:firstLineChars="200"/>
              <w:jc w:val="left"/>
              <w:rPr>
                <w:bCs/>
                <w:sz w:val="24"/>
              </w:rPr>
            </w:pPr>
            <w:r>
              <w:rPr>
                <w:bCs/>
                <w:sz w:val="24"/>
              </w:rPr>
              <w:t>根据《202</w:t>
            </w:r>
            <w:r>
              <w:rPr>
                <w:rFonts w:hint="eastAsia"/>
                <w:bCs/>
                <w:sz w:val="24"/>
              </w:rPr>
              <w:t>2</w:t>
            </w:r>
            <w:r>
              <w:rPr>
                <w:bCs/>
                <w:sz w:val="24"/>
              </w:rPr>
              <w:t>年度苏州高新区环境质量公报》，苏州高新区SO</w:t>
            </w:r>
            <w:r>
              <w:rPr>
                <w:bCs/>
                <w:sz w:val="24"/>
                <w:vertAlign w:val="subscript"/>
              </w:rPr>
              <w:t>2</w:t>
            </w:r>
            <w:r>
              <w:rPr>
                <w:bCs/>
                <w:sz w:val="24"/>
              </w:rPr>
              <w:t>、NO</w:t>
            </w:r>
            <w:r>
              <w:rPr>
                <w:bCs/>
                <w:sz w:val="24"/>
                <w:vertAlign w:val="subscript"/>
              </w:rPr>
              <w:t>2</w:t>
            </w:r>
            <w:r>
              <w:rPr>
                <w:bCs/>
                <w:sz w:val="24"/>
              </w:rPr>
              <w:t>、PM</w:t>
            </w:r>
            <w:r>
              <w:rPr>
                <w:bCs/>
                <w:sz w:val="24"/>
                <w:vertAlign w:val="subscript"/>
              </w:rPr>
              <w:t>2.5</w:t>
            </w:r>
            <w:r>
              <w:rPr>
                <w:bCs/>
                <w:sz w:val="24"/>
              </w:rPr>
              <w:t>、PM</w:t>
            </w:r>
            <w:r>
              <w:rPr>
                <w:bCs/>
                <w:sz w:val="24"/>
                <w:vertAlign w:val="subscript"/>
              </w:rPr>
              <w:t>10</w:t>
            </w:r>
            <w:r>
              <w:rPr>
                <w:bCs/>
                <w:sz w:val="24"/>
              </w:rPr>
              <w:t>年均浓度、CO24小时平均第95百分位浓度可达到《环境空气质量标准》（GB3095-2012）及其修改单二级标准，O</w:t>
            </w:r>
            <w:r>
              <w:rPr>
                <w:bCs/>
                <w:sz w:val="24"/>
                <w:vertAlign w:val="subscript"/>
              </w:rPr>
              <w:t>3</w:t>
            </w:r>
            <w:r>
              <w:rPr>
                <w:bCs/>
                <w:sz w:val="24"/>
              </w:rPr>
              <w:t>最大8小时滑动平均第90百分位浓度超过《环境空气质量标准》（GB 3095-2012）及其修改单二级标准，项目所在区域为不达标区。</w:t>
            </w:r>
          </w:p>
          <w:p>
            <w:pPr>
              <w:spacing w:line="360" w:lineRule="auto"/>
              <w:ind w:firstLine="480" w:firstLineChars="200"/>
              <w:jc w:val="left"/>
              <w:rPr>
                <w:bCs/>
                <w:sz w:val="24"/>
              </w:rPr>
            </w:pPr>
            <w:r>
              <w:rPr>
                <w:bCs/>
                <w:sz w:val="24"/>
              </w:rPr>
              <w:t>根据《苏州市空气质量改善达标规划（2019-2024年）》，本次规划评价到2024年。目标：力争到2024年，苏州市PM</w:t>
            </w:r>
            <w:r>
              <w:rPr>
                <w:bCs/>
                <w:sz w:val="24"/>
                <w:vertAlign w:val="subscript"/>
              </w:rPr>
              <w:t>2.5</w:t>
            </w:r>
            <w:r>
              <w:rPr>
                <w:bCs/>
                <w:sz w:val="24"/>
              </w:rPr>
              <w:t>浓度达到35μg/m</w:t>
            </w:r>
            <w:r>
              <w:rPr>
                <w:bCs/>
                <w:sz w:val="24"/>
                <w:vertAlign w:val="superscript"/>
              </w:rPr>
              <w:t>3</w:t>
            </w:r>
            <w:r>
              <w:rPr>
                <w:bCs/>
                <w:sz w:val="24"/>
              </w:rPr>
              <w:t>左右，O</w:t>
            </w:r>
            <w:r>
              <w:rPr>
                <w:bCs/>
                <w:sz w:val="24"/>
                <w:vertAlign w:val="subscript"/>
              </w:rPr>
              <w:t>3</w:t>
            </w:r>
            <w:r>
              <w:rPr>
                <w:bCs/>
                <w:sz w:val="24"/>
              </w:rPr>
              <w:t>浓度达到拐点，除O</w:t>
            </w:r>
            <w:r>
              <w:rPr>
                <w:bCs/>
                <w:sz w:val="24"/>
                <w:vertAlign w:val="subscript"/>
              </w:rPr>
              <w:t>3</w:t>
            </w:r>
            <w:r>
              <w:rPr>
                <w:bCs/>
                <w:sz w:val="24"/>
              </w:rPr>
              <w:t>以外的主要大气污染物浓度达到国家二级标准要求，空气质量优良天数比率达到80%。以不断降低PM</w:t>
            </w:r>
            <w:r>
              <w:rPr>
                <w:bCs/>
                <w:sz w:val="24"/>
                <w:vertAlign w:val="subscript"/>
              </w:rPr>
              <w:t>2.5</w:t>
            </w:r>
            <w:r>
              <w:rPr>
                <w:bCs/>
                <w:sz w:val="24"/>
              </w:rPr>
              <w:t>浓度，明显减少重污染天数，明显改善环境空气质量，明显增强人民的蓝天幸福感为核心目标，强化煤炭质量管理，推进热电整合，优化产业结构和布局；促进高排放车辆淘汰，推进运输结构调整；提高各行业清洁化生产水平，全面执行大气污染物特别排放限值，不断推进重点行业提标改造，加强监测监控管理水平。完成工业炉窑综合整治，进一步提高电力、钢铁及建材行业排放要求，完成非电行业氮氧化物排放深度治理，对标最严格的绩效分级标准实施重点企业颗粒物无组织排放深度治理；完成重点行业低VOCs含量原辅料替代目标，从化工、涂装、纺织印染等工业行业挖掘VOCs减排潜力，全面加强VOCs无组织排放治理，试点基于光化学活性的VOCs关键组分管控；以施工工地、港口码头和堆场为重点提高扬尘污染控制水平。促进PM</w:t>
            </w:r>
            <w:r>
              <w:rPr>
                <w:bCs/>
                <w:sz w:val="24"/>
                <w:vertAlign w:val="subscript"/>
              </w:rPr>
              <w:t>2.5</w:t>
            </w:r>
            <w:r>
              <w:rPr>
                <w:bCs/>
                <w:sz w:val="24"/>
              </w:rPr>
              <w:t>和臭氧协同控制，推进区域联防联控，提升大气污染精细化防控能力。届时，苏州高新区的环境空气质量将得到极大的改善。</w:t>
            </w:r>
          </w:p>
          <w:p>
            <w:pPr>
              <w:spacing w:line="360" w:lineRule="auto"/>
              <w:ind w:firstLine="480" w:firstLineChars="200"/>
              <w:rPr>
                <w:sz w:val="24"/>
              </w:rPr>
            </w:pPr>
            <w:r>
              <w:rPr>
                <w:sz w:val="24"/>
              </w:rPr>
              <w:t>根据《202</w:t>
            </w:r>
            <w:r>
              <w:rPr>
                <w:rFonts w:hint="eastAsia"/>
                <w:sz w:val="24"/>
              </w:rPr>
              <w:t>2</w:t>
            </w:r>
            <w:r>
              <w:rPr>
                <w:sz w:val="24"/>
              </w:rPr>
              <w:t>年度苏州高新区环境质量状况》，苏州市水环境质量总体保持稳定。2个集中式饮用水水源地水质均属安全饮用水，省级断面考核达标率为100%，重点河流水环境质量基本稳定。</w:t>
            </w:r>
          </w:p>
          <w:p>
            <w:pPr>
              <w:spacing w:line="360" w:lineRule="auto"/>
              <w:ind w:firstLine="480" w:firstLineChars="200"/>
              <w:rPr>
                <w:sz w:val="24"/>
              </w:rPr>
            </w:pPr>
            <w:r>
              <w:rPr>
                <w:sz w:val="24"/>
              </w:rPr>
              <w:t>根据监测结果，项目所在区域声环境质量满足《声环境质量标准》（GB3096-2008）中3类标准要求。</w:t>
            </w:r>
          </w:p>
          <w:p>
            <w:pPr>
              <w:spacing w:line="360" w:lineRule="auto"/>
              <w:ind w:firstLine="480" w:firstLineChars="200"/>
              <w:jc w:val="left"/>
            </w:pPr>
            <w:r>
              <w:rPr>
                <w:sz w:val="24"/>
              </w:rPr>
              <w:t>本项目废水达到接管标准后接入</w:t>
            </w:r>
            <w:r>
              <w:rPr>
                <w:rFonts w:hint="eastAsia"/>
                <w:bCs/>
                <w:sz w:val="24"/>
              </w:rPr>
              <w:t>科技城</w:t>
            </w:r>
            <w:r>
              <w:rPr>
                <w:bCs/>
                <w:sz w:val="24"/>
              </w:rPr>
              <w:t>水质净化厂</w:t>
            </w:r>
            <w:r>
              <w:rPr>
                <w:sz w:val="24"/>
              </w:rPr>
              <w:t>进行处理，废气、固废均得到合理处置，噪声对周边影响较小，不会降低项目所在地的环境功能质量。因此本项目的建设不会突破环境质量底线。</w:t>
            </w:r>
          </w:p>
          <w:p>
            <w:pPr>
              <w:tabs>
                <w:tab w:val="left" w:pos="0"/>
              </w:tabs>
              <w:spacing w:line="360" w:lineRule="auto"/>
              <w:ind w:firstLine="480" w:firstLineChars="200"/>
              <w:rPr>
                <w:bCs/>
                <w:sz w:val="24"/>
              </w:rPr>
            </w:pPr>
            <w:r>
              <w:rPr>
                <w:bCs/>
                <w:sz w:val="24"/>
              </w:rPr>
              <w:t>（3）资源利用上线</w:t>
            </w:r>
          </w:p>
          <w:p>
            <w:pPr>
              <w:tabs>
                <w:tab w:val="left" w:pos="0"/>
              </w:tabs>
              <w:spacing w:line="360" w:lineRule="auto"/>
              <w:ind w:firstLine="480" w:firstLineChars="200"/>
              <w:jc w:val="left"/>
              <w:rPr>
                <w:bCs/>
                <w:sz w:val="24"/>
              </w:rPr>
            </w:pPr>
            <w:r>
              <w:rPr>
                <w:bCs/>
                <w:sz w:val="24"/>
              </w:rPr>
              <w:t>本项目位于苏州高新区</w:t>
            </w:r>
            <w:r>
              <w:rPr>
                <w:rFonts w:hint="eastAsia"/>
                <w:bCs/>
                <w:sz w:val="24"/>
              </w:rPr>
              <w:t>东渚街道金沙江路158号12幢</w:t>
            </w:r>
            <w:r>
              <w:rPr>
                <w:bCs/>
                <w:sz w:val="24"/>
              </w:rPr>
              <w:t>，使用的能源主要为电、自来水。新鲜水由城市自来水供给，水源为地表水，项目区域地表水资源丰富，项目新鲜水用量较小，不会突破资源利用上线；用电量较小，当地电网能够满足本项目用电量。本项目所在地的用地规划为工业用地，用地性质相符。故本项目满足资源利用上线。</w:t>
            </w:r>
          </w:p>
          <w:p>
            <w:pPr>
              <w:tabs>
                <w:tab w:val="left" w:pos="0"/>
              </w:tabs>
              <w:spacing w:line="360" w:lineRule="auto"/>
              <w:ind w:firstLine="480" w:firstLineChars="200"/>
              <w:rPr>
                <w:bCs/>
                <w:sz w:val="24"/>
              </w:rPr>
            </w:pPr>
            <w:r>
              <w:rPr>
                <w:bCs/>
                <w:sz w:val="24"/>
              </w:rPr>
              <w:t>（4）环境准入负面清单</w:t>
            </w:r>
          </w:p>
          <w:p>
            <w:pPr>
              <w:autoSpaceDE w:val="0"/>
              <w:autoSpaceDN w:val="0"/>
              <w:adjustRightInd w:val="0"/>
              <w:snapToGrid w:val="0"/>
              <w:spacing w:line="360" w:lineRule="auto"/>
              <w:ind w:firstLine="480" w:firstLineChars="200"/>
            </w:pPr>
            <w:r>
              <w:rPr>
                <w:sz w:val="24"/>
              </w:rPr>
              <w:t>本项目所在地没有环境负面准入清单。本次环评对照国家及地方产业政策和《市场准入负面清单（202</w:t>
            </w:r>
            <w:r>
              <w:rPr>
                <w:rFonts w:hint="eastAsia"/>
                <w:sz w:val="24"/>
              </w:rPr>
              <w:t>2</w:t>
            </w:r>
            <w:r>
              <w:rPr>
                <w:sz w:val="24"/>
              </w:rPr>
              <w:t>年版）》进行说明，具体见下表。</w:t>
            </w:r>
          </w:p>
          <w:p>
            <w:pPr>
              <w:tabs>
                <w:tab w:val="left" w:pos="0"/>
              </w:tabs>
              <w:spacing w:before="60"/>
              <w:jc w:val="center"/>
              <w:rPr>
                <w:b/>
                <w:sz w:val="24"/>
              </w:rPr>
            </w:pPr>
            <w:r>
              <w:rPr>
                <w:b/>
                <w:sz w:val="24"/>
              </w:rPr>
              <w:t>表1-4  本项目与国家及地产业政策和《市场准入负面清单（202</w:t>
            </w:r>
            <w:r>
              <w:rPr>
                <w:rFonts w:hint="eastAsia"/>
                <w:b/>
                <w:sz w:val="24"/>
              </w:rPr>
              <w:t>2</w:t>
            </w:r>
            <w:r>
              <w:rPr>
                <w:b/>
                <w:sz w:val="24"/>
              </w:rPr>
              <w:t>年版）》相符性分析</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3"/>
              <w:gridCol w:w="2122"/>
              <w:gridCol w:w="53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adjustRightInd w:val="0"/>
                    <w:snapToGrid w:val="0"/>
                    <w:jc w:val="center"/>
                    <w:rPr>
                      <w:color w:val="000000"/>
                      <w:szCs w:val="21"/>
                    </w:rPr>
                  </w:pPr>
                  <w:r>
                    <w:rPr>
                      <w:rFonts w:hint="eastAsia"/>
                      <w:color w:val="000000"/>
                      <w:szCs w:val="21"/>
                    </w:rPr>
                    <w:t>序号</w:t>
                  </w:r>
                </w:p>
              </w:tc>
              <w:tc>
                <w:tcPr>
                  <w:tcW w:w="1338" w:type="pct"/>
                  <w:vAlign w:val="center"/>
                </w:tcPr>
                <w:p>
                  <w:pPr>
                    <w:jc w:val="center"/>
                    <w:rPr>
                      <w:color w:val="000000"/>
                      <w:szCs w:val="21"/>
                    </w:rPr>
                  </w:pPr>
                  <w:r>
                    <w:rPr>
                      <w:rFonts w:hint="eastAsia"/>
                      <w:color w:val="000000"/>
                      <w:szCs w:val="21"/>
                    </w:rPr>
                    <w:t>内容</w:t>
                  </w:r>
                </w:p>
              </w:tc>
              <w:tc>
                <w:tcPr>
                  <w:tcW w:w="3389" w:type="pct"/>
                  <w:vAlign w:val="center"/>
                </w:tcPr>
                <w:p>
                  <w:pPr>
                    <w:jc w:val="center"/>
                    <w:rPr>
                      <w:color w:val="000000"/>
                      <w:szCs w:val="21"/>
                    </w:rPr>
                  </w:pPr>
                  <w:r>
                    <w:rPr>
                      <w:rFonts w:hint="eastAsia"/>
                      <w:color w:val="000000"/>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1</w:t>
                  </w:r>
                </w:p>
              </w:tc>
              <w:tc>
                <w:tcPr>
                  <w:tcW w:w="1338" w:type="pct"/>
                  <w:vAlign w:val="center"/>
                </w:tcPr>
                <w:p>
                  <w:pPr>
                    <w:widowControl/>
                    <w:jc w:val="center"/>
                    <w:rPr>
                      <w:snapToGrid w:val="0"/>
                      <w:color w:val="000000"/>
                      <w:szCs w:val="21"/>
                    </w:rPr>
                  </w:pPr>
                  <w:r>
                    <w:rPr>
                      <w:rFonts w:hint="eastAsia"/>
                      <w:snapToGrid w:val="0"/>
                      <w:color w:val="000000"/>
                      <w:szCs w:val="21"/>
                    </w:rPr>
                    <w:t>《产业结构调整指导目录（</w:t>
                  </w:r>
                  <w:r>
                    <w:rPr>
                      <w:snapToGrid w:val="0"/>
                      <w:color w:val="000000"/>
                      <w:szCs w:val="21"/>
                    </w:rPr>
                    <w:t>2019</w:t>
                  </w:r>
                  <w:r>
                    <w:rPr>
                      <w:rFonts w:hint="eastAsia"/>
                      <w:snapToGrid w:val="0"/>
                      <w:color w:val="000000"/>
                      <w:szCs w:val="21"/>
                    </w:rPr>
                    <w:t>年本）》（2021调整）</w:t>
                  </w:r>
                </w:p>
              </w:tc>
              <w:tc>
                <w:tcPr>
                  <w:tcW w:w="3389" w:type="pct"/>
                  <w:vAlign w:val="center"/>
                </w:tcPr>
                <w:p>
                  <w:pPr>
                    <w:widowControl/>
                    <w:jc w:val="center"/>
                    <w:rPr>
                      <w:snapToGrid w:val="0"/>
                      <w:color w:val="000000"/>
                      <w:szCs w:val="21"/>
                    </w:rPr>
                  </w:pPr>
                  <w:r>
                    <w:rPr>
                      <w:rFonts w:hint="eastAsia"/>
                      <w:snapToGrid w:val="0"/>
                      <w:color w:val="000000"/>
                      <w:szCs w:val="21"/>
                    </w:rPr>
                    <w:t>经查《产业结构调整指导目录（</w:t>
                  </w:r>
                  <w:r>
                    <w:rPr>
                      <w:snapToGrid w:val="0"/>
                      <w:color w:val="000000"/>
                      <w:szCs w:val="21"/>
                    </w:rPr>
                    <w:t>2019</w:t>
                  </w:r>
                  <w:r>
                    <w:rPr>
                      <w:rFonts w:hint="eastAsia"/>
                      <w:snapToGrid w:val="0"/>
                      <w:color w:val="000000"/>
                      <w:szCs w:val="21"/>
                    </w:rPr>
                    <w:t>年本）》（2021调整），项目不在《产业结构调整指导目录（</w:t>
                  </w:r>
                  <w:r>
                    <w:rPr>
                      <w:snapToGrid w:val="0"/>
                      <w:color w:val="000000"/>
                      <w:szCs w:val="21"/>
                    </w:rPr>
                    <w:t>2019</w:t>
                  </w:r>
                  <w:r>
                    <w:rPr>
                      <w:rFonts w:hint="eastAsia"/>
                      <w:snapToGrid w:val="0"/>
                      <w:color w:val="000000"/>
                      <w:szCs w:val="21"/>
                    </w:rPr>
                    <w:t>年本）》限制类和淘汰类中，为允许类，符合该文件的要求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2</w:t>
                  </w:r>
                </w:p>
              </w:tc>
              <w:tc>
                <w:tcPr>
                  <w:tcW w:w="1338" w:type="pct"/>
                  <w:vAlign w:val="center"/>
                </w:tcPr>
                <w:p>
                  <w:pPr>
                    <w:widowControl/>
                    <w:jc w:val="center"/>
                    <w:rPr>
                      <w:snapToGrid w:val="0"/>
                      <w:color w:val="000000"/>
                      <w:szCs w:val="21"/>
                    </w:rPr>
                  </w:pPr>
                  <w:r>
                    <w:rPr>
                      <w:rFonts w:hint="eastAsia"/>
                      <w:snapToGrid w:val="0"/>
                      <w:color w:val="000000"/>
                      <w:szCs w:val="21"/>
                    </w:rPr>
                    <w:t>《江苏省工业和信息产业结构调整指导目录》（</w:t>
                  </w:r>
                  <w:r>
                    <w:rPr>
                      <w:snapToGrid w:val="0"/>
                      <w:color w:val="000000"/>
                      <w:szCs w:val="21"/>
                    </w:rPr>
                    <w:t>20</w:t>
                  </w:r>
                  <w:r>
                    <w:rPr>
                      <w:rFonts w:hint="eastAsia"/>
                      <w:snapToGrid w:val="0"/>
                      <w:color w:val="000000"/>
                      <w:szCs w:val="21"/>
                    </w:rPr>
                    <w:t>20年本）</w:t>
                  </w:r>
                </w:p>
              </w:tc>
              <w:tc>
                <w:tcPr>
                  <w:tcW w:w="3389" w:type="pct"/>
                  <w:vAlign w:val="center"/>
                </w:tcPr>
                <w:p>
                  <w:pPr>
                    <w:widowControl/>
                    <w:jc w:val="center"/>
                    <w:rPr>
                      <w:snapToGrid w:val="0"/>
                      <w:color w:val="000000"/>
                      <w:szCs w:val="21"/>
                    </w:rPr>
                  </w:pPr>
                  <w:r>
                    <w:rPr>
                      <w:rFonts w:hint="eastAsia"/>
                      <w:snapToGrid w:val="0"/>
                      <w:color w:val="000000"/>
                      <w:szCs w:val="21"/>
                    </w:rPr>
                    <w:t>经查《江苏省工业和信息产业结构调整指导目录》（</w:t>
                  </w:r>
                  <w:r>
                    <w:rPr>
                      <w:snapToGrid w:val="0"/>
                      <w:color w:val="000000"/>
                      <w:szCs w:val="21"/>
                    </w:rPr>
                    <w:t>20</w:t>
                  </w:r>
                  <w:r>
                    <w:rPr>
                      <w:rFonts w:hint="eastAsia"/>
                      <w:snapToGrid w:val="0"/>
                      <w:color w:val="000000"/>
                      <w:szCs w:val="21"/>
                    </w:rPr>
                    <w:t>20年本），项目不在《江苏省工业和信息产业结构调整指导目录》（</w:t>
                  </w:r>
                  <w:r>
                    <w:rPr>
                      <w:snapToGrid w:val="0"/>
                      <w:color w:val="000000"/>
                      <w:szCs w:val="21"/>
                    </w:rPr>
                    <w:t>20</w:t>
                  </w:r>
                  <w:r>
                    <w:rPr>
                      <w:rFonts w:hint="eastAsia"/>
                      <w:snapToGrid w:val="0"/>
                      <w:color w:val="000000"/>
                      <w:szCs w:val="21"/>
                    </w:rPr>
                    <w:t>20年本）中的限制及淘汰类，为允许类，符合该文件的要求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3</w:t>
                  </w:r>
                </w:p>
              </w:tc>
              <w:tc>
                <w:tcPr>
                  <w:tcW w:w="1338" w:type="pct"/>
                  <w:vAlign w:val="center"/>
                </w:tcPr>
                <w:p>
                  <w:pPr>
                    <w:widowControl/>
                    <w:jc w:val="center"/>
                    <w:rPr>
                      <w:snapToGrid w:val="0"/>
                      <w:color w:val="000000"/>
                      <w:szCs w:val="21"/>
                    </w:rPr>
                  </w:pPr>
                  <w:r>
                    <w:rPr>
                      <w:rFonts w:hint="eastAsia"/>
                      <w:snapToGrid w:val="0"/>
                      <w:color w:val="000000"/>
                      <w:szCs w:val="21"/>
                    </w:rPr>
                    <w:t>《江苏省工业和信息产业结构调整限制淘汰目录和能耗限额的通知》（苏政办发</w:t>
                  </w:r>
                  <w:r>
                    <w:rPr>
                      <w:snapToGrid w:val="0"/>
                      <w:color w:val="000000"/>
                      <w:szCs w:val="21"/>
                    </w:rPr>
                    <w:t>[2015]118</w:t>
                  </w:r>
                  <w:r>
                    <w:rPr>
                      <w:rFonts w:hint="eastAsia"/>
                      <w:snapToGrid w:val="0"/>
                      <w:color w:val="000000"/>
                      <w:szCs w:val="21"/>
                    </w:rPr>
                    <w:t>号）</w:t>
                  </w:r>
                </w:p>
              </w:tc>
              <w:tc>
                <w:tcPr>
                  <w:tcW w:w="3389" w:type="pct"/>
                  <w:vAlign w:val="center"/>
                </w:tcPr>
                <w:p>
                  <w:pPr>
                    <w:widowControl/>
                    <w:jc w:val="center"/>
                    <w:rPr>
                      <w:snapToGrid w:val="0"/>
                      <w:color w:val="000000"/>
                      <w:szCs w:val="21"/>
                    </w:rPr>
                  </w:pPr>
                  <w:r>
                    <w:rPr>
                      <w:rFonts w:hint="eastAsia"/>
                      <w:snapToGrid w:val="0"/>
                      <w:color w:val="000000"/>
                      <w:szCs w:val="21"/>
                    </w:rPr>
                    <w:t>经查《江苏省工业和信息产业结构调整限制淘汰目录和能耗限额的通知》（苏政办发</w:t>
                  </w:r>
                  <w:r>
                    <w:rPr>
                      <w:snapToGrid w:val="0"/>
                      <w:color w:val="000000"/>
                      <w:szCs w:val="21"/>
                    </w:rPr>
                    <w:t>[2015]118</w:t>
                  </w:r>
                  <w:r>
                    <w:rPr>
                      <w:rFonts w:hint="eastAsia"/>
                      <w:snapToGrid w:val="0"/>
                      <w:color w:val="000000"/>
                      <w:szCs w:val="21"/>
                    </w:rPr>
                    <w:t>号），项目不在《省发展改革委江苏省工业和信息产业结构调整限制淘汰目录和能耗限额的通知》（苏政办发</w:t>
                  </w:r>
                  <w:r>
                    <w:rPr>
                      <w:snapToGrid w:val="0"/>
                      <w:color w:val="000000"/>
                      <w:szCs w:val="21"/>
                    </w:rPr>
                    <w:t>[2015]118</w:t>
                  </w:r>
                  <w:r>
                    <w:rPr>
                      <w:rFonts w:hint="eastAsia"/>
                      <w:snapToGrid w:val="0"/>
                      <w:color w:val="000000"/>
                      <w:szCs w:val="21"/>
                    </w:rPr>
                    <w:t>号）中淘汰类和限制类，符合该文件的要求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4</w:t>
                  </w:r>
                </w:p>
              </w:tc>
              <w:tc>
                <w:tcPr>
                  <w:tcW w:w="1338" w:type="pct"/>
                  <w:vAlign w:val="center"/>
                </w:tcPr>
                <w:p>
                  <w:pPr>
                    <w:widowControl/>
                    <w:jc w:val="center"/>
                    <w:rPr>
                      <w:snapToGrid w:val="0"/>
                      <w:color w:val="000000"/>
                      <w:szCs w:val="21"/>
                    </w:rPr>
                  </w:pPr>
                  <w:r>
                    <w:rPr>
                      <w:rFonts w:hint="eastAsia"/>
                      <w:snapToGrid w:val="0"/>
                      <w:color w:val="000000"/>
                      <w:szCs w:val="21"/>
                    </w:rPr>
                    <w:t>《限制用地项目目录（</w:t>
                  </w:r>
                  <w:r>
                    <w:rPr>
                      <w:snapToGrid w:val="0"/>
                      <w:color w:val="000000"/>
                      <w:szCs w:val="21"/>
                    </w:rPr>
                    <w:t>2012</w:t>
                  </w:r>
                  <w:r>
                    <w:rPr>
                      <w:rFonts w:hint="eastAsia"/>
                      <w:snapToGrid w:val="0"/>
                      <w:color w:val="000000"/>
                      <w:szCs w:val="21"/>
                    </w:rPr>
                    <w:t>年本）》《禁止用地项目目录（</w:t>
                  </w:r>
                  <w:r>
                    <w:rPr>
                      <w:snapToGrid w:val="0"/>
                      <w:color w:val="000000"/>
                      <w:szCs w:val="21"/>
                    </w:rPr>
                    <w:t>2012</w:t>
                  </w:r>
                  <w:r>
                    <w:rPr>
                      <w:rFonts w:hint="eastAsia"/>
                      <w:snapToGrid w:val="0"/>
                      <w:color w:val="000000"/>
                      <w:szCs w:val="21"/>
                    </w:rPr>
                    <w:t>年本）》</w:t>
                  </w:r>
                </w:p>
              </w:tc>
              <w:tc>
                <w:tcPr>
                  <w:tcW w:w="3389" w:type="pct"/>
                  <w:vAlign w:val="center"/>
                </w:tcPr>
                <w:p>
                  <w:pPr>
                    <w:widowControl/>
                    <w:jc w:val="center"/>
                    <w:rPr>
                      <w:snapToGrid w:val="0"/>
                      <w:color w:val="000000"/>
                      <w:szCs w:val="21"/>
                    </w:rPr>
                  </w:pPr>
                  <w:r>
                    <w:rPr>
                      <w:rFonts w:hint="eastAsia"/>
                      <w:snapToGrid w:val="0"/>
                      <w:color w:val="000000"/>
                      <w:szCs w:val="21"/>
                    </w:rPr>
                    <w:t>本项目不在《限制用地项目目录（</w:t>
                  </w:r>
                  <w:r>
                    <w:rPr>
                      <w:snapToGrid w:val="0"/>
                      <w:color w:val="000000"/>
                      <w:szCs w:val="21"/>
                    </w:rPr>
                    <w:t>2012</w:t>
                  </w:r>
                  <w:r>
                    <w:rPr>
                      <w:rFonts w:hint="eastAsia"/>
                      <w:snapToGrid w:val="0"/>
                      <w:color w:val="000000"/>
                      <w:szCs w:val="21"/>
                    </w:rPr>
                    <w:t>年本）》、《禁止用地项目目录（</w:t>
                  </w:r>
                  <w:r>
                    <w:rPr>
                      <w:snapToGrid w:val="0"/>
                      <w:color w:val="000000"/>
                      <w:szCs w:val="21"/>
                    </w:rPr>
                    <w:t>2012</w:t>
                  </w:r>
                  <w:r>
                    <w:rPr>
                      <w:rFonts w:hint="eastAsia"/>
                      <w:snapToGrid w:val="0"/>
                      <w:color w:val="000000"/>
                      <w:szCs w:val="21"/>
                    </w:rPr>
                    <w:t>年本）》中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5</w:t>
                  </w:r>
                </w:p>
              </w:tc>
              <w:tc>
                <w:tcPr>
                  <w:tcW w:w="1338" w:type="pct"/>
                  <w:vAlign w:val="center"/>
                </w:tcPr>
                <w:p>
                  <w:pPr>
                    <w:widowControl/>
                    <w:jc w:val="center"/>
                    <w:rPr>
                      <w:snapToGrid w:val="0"/>
                      <w:color w:val="000000"/>
                      <w:szCs w:val="21"/>
                    </w:rPr>
                  </w:pPr>
                  <w:r>
                    <w:rPr>
                      <w:rFonts w:hint="eastAsia"/>
                      <w:snapToGrid w:val="0"/>
                      <w:color w:val="000000"/>
                      <w:szCs w:val="21"/>
                    </w:rPr>
                    <w:t>《江苏省限制用地项目目录（</w:t>
                  </w:r>
                  <w:r>
                    <w:rPr>
                      <w:snapToGrid w:val="0"/>
                      <w:color w:val="000000"/>
                      <w:szCs w:val="21"/>
                    </w:rPr>
                    <w:t>2013</w:t>
                  </w:r>
                  <w:r>
                    <w:rPr>
                      <w:rFonts w:hint="eastAsia"/>
                      <w:snapToGrid w:val="0"/>
                      <w:color w:val="000000"/>
                      <w:szCs w:val="21"/>
                    </w:rPr>
                    <w:t>年本）》、《江苏省禁止用地项目目录（</w:t>
                  </w:r>
                  <w:r>
                    <w:rPr>
                      <w:snapToGrid w:val="0"/>
                      <w:color w:val="000000"/>
                      <w:szCs w:val="21"/>
                    </w:rPr>
                    <w:t>2013</w:t>
                  </w:r>
                  <w:r>
                    <w:rPr>
                      <w:rFonts w:hint="eastAsia"/>
                      <w:snapToGrid w:val="0"/>
                      <w:color w:val="000000"/>
                      <w:szCs w:val="21"/>
                    </w:rPr>
                    <w:t>年本）》</w:t>
                  </w:r>
                </w:p>
              </w:tc>
              <w:tc>
                <w:tcPr>
                  <w:tcW w:w="3389" w:type="pct"/>
                  <w:vAlign w:val="center"/>
                </w:tcPr>
                <w:p>
                  <w:pPr>
                    <w:widowControl/>
                    <w:jc w:val="center"/>
                    <w:rPr>
                      <w:snapToGrid w:val="0"/>
                      <w:color w:val="000000"/>
                      <w:szCs w:val="21"/>
                    </w:rPr>
                  </w:pPr>
                  <w:r>
                    <w:rPr>
                      <w:rFonts w:hint="eastAsia"/>
                      <w:snapToGrid w:val="0"/>
                      <w:color w:val="000000"/>
                      <w:szCs w:val="21"/>
                    </w:rPr>
                    <w:t>本项目不在《江苏省限制用地项目目录（</w:t>
                  </w:r>
                  <w:r>
                    <w:rPr>
                      <w:snapToGrid w:val="0"/>
                      <w:color w:val="000000"/>
                      <w:szCs w:val="21"/>
                    </w:rPr>
                    <w:t>2013</w:t>
                  </w:r>
                  <w:r>
                    <w:rPr>
                      <w:rFonts w:hint="eastAsia"/>
                      <w:snapToGrid w:val="0"/>
                      <w:color w:val="000000"/>
                      <w:szCs w:val="21"/>
                    </w:rPr>
                    <w:t>年本）》、《江苏省禁止用地项目目录（</w:t>
                  </w:r>
                  <w:r>
                    <w:rPr>
                      <w:snapToGrid w:val="0"/>
                      <w:color w:val="000000"/>
                      <w:szCs w:val="21"/>
                    </w:rPr>
                    <w:t>2013</w:t>
                  </w:r>
                  <w:r>
                    <w:rPr>
                      <w:rFonts w:hint="eastAsia"/>
                      <w:snapToGrid w:val="0"/>
                      <w:color w:val="000000"/>
                      <w:szCs w:val="21"/>
                    </w:rPr>
                    <w:t>年本）》中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6</w:t>
                  </w:r>
                </w:p>
              </w:tc>
              <w:tc>
                <w:tcPr>
                  <w:tcW w:w="1338" w:type="pct"/>
                  <w:vAlign w:val="center"/>
                </w:tcPr>
                <w:p>
                  <w:pPr>
                    <w:widowControl/>
                    <w:jc w:val="center"/>
                    <w:rPr>
                      <w:snapToGrid w:val="0"/>
                      <w:color w:val="000000"/>
                      <w:szCs w:val="21"/>
                    </w:rPr>
                  </w:pPr>
                  <w:r>
                    <w:rPr>
                      <w:rFonts w:hint="eastAsia"/>
                      <w:snapToGrid w:val="0"/>
                      <w:color w:val="000000"/>
                      <w:szCs w:val="21"/>
                    </w:rPr>
                    <w:t>《市场准入负面清单（2022版本）》</w:t>
                  </w:r>
                </w:p>
              </w:tc>
              <w:tc>
                <w:tcPr>
                  <w:tcW w:w="3389" w:type="pct"/>
                  <w:vAlign w:val="center"/>
                </w:tcPr>
                <w:p>
                  <w:pPr>
                    <w:widowControl/>
                    <w:jc w:val="center"/>
                    <w:rPr>
                      <w:snapToGrid w:val="0"/>
                      <w:color w:val="000000"/>
                      <w:szCs w:val="21"/>
                    </w:rPr>
                  </w:pPr>
                  <w:r>
                    <w:rPr>
                      <w:rFonts w:hint="eastAsia"/>
                      <w:snapToGrid w:val="0"/>
                      <w:color w:val="000000"/>
                      <w:szCs w:val="21"/>
                    </w:rPr>
                    <w:t>经查《市场准入负面清单（2022版本）》，本项目不在其禁止准入类和限制准入类中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7</w:t>
                  </w:r>
                </w:p>
              </w:tc>
              <w:tc>
                <w:tcPr>
                  <w:tcW w:w="1338" w:type="pct"/>
                  <w:vAlign w:val="center"/>
                </w:tcPr>
                <w:p>
                  <w:pPr>
                    <w:widowControl/>
                    <w:jc w:val="center"/>
                    <w:rPr>
                      <w:snapToGrid w:val="0"/>
                      <w:color w:val="000000"/>
                      <w:szCs w:val="21"/>
                    </w:rPr>
                  </w:pPr>
                  <w:r>
                    <w:rPr>
                      <w:rFonts w:hint="eastAsia"/>
                      <w:snapToGrid w:val="0"/>
                      <w:color w:val="000000"/>
                      <w:szCs w:val="21"/>
                    </w:rPr>
                    <w:t>《江苏省太湖水污染防治条例》（</w:t>
                  </w:r>
                  <w:r>
                    <w:rPr>
                      <w:snapToGrid w:val="0"/>
                      <w:color w:val="000000"/>
                      <w:szCs w:val="21"/>
                    </w:rPr>
                    <w:t>2018</w:t>
                  </w:r>
                  <w:r>
                    <w:rPr>
                      <w:rFonts w:hint="eastAsia"/>
                      <w:snapToGrid w:val="0"/>
                      <w:color w:val="000000"/>
                      <w:szCs w:val="21"/>
                    </w:rPr>
                    <w:t>年修订）</w:t>
                  </w:r>
                </w:p>
              </w:tc>
              <w:tc>
                <w:tcPr>
                  <w:tcW w:w="3389" w:type="pct"/>
                  <w:vAlign w:val="center"/>
                </w:tcPr>
                <w:p>
                  <w:pPr>
                    <w:widowControl/>
                    <w:jc w:val="center"/>
                    <w:rPr>
                      <w:snapToGrid w:val="0"/>
                      <w:color w:val="000000"/>
                      <w:szCs w:val="21"/>
                    </w:rPr>
                  </w:pPr>
                  <w:r>
                    <w:rPr>
                      <w:rFonts w:hint="eastAsia"/>
                      <w:snapToGrid w:val="0"/>
                      <w:color w:val="000000"/>
                      <w:szCs w:val="21"/>
                    </w:rPr>
                    <w:t>根据《江苏省太湖水污染防治条例》（</w:t>
                  </w:r>
                  <w:r>
                    <w:rPr>
                      <w:snapToGrid w:val="0"/>
                      <w:color w:val="000000"/>
                      <w:szCs w:val="21"/>
                    </w:rPr>
                    <w:t>2018</w:t>
                  </w:r>
                  <w:r>
                    <w:rPr>
                      <w:rFonts w:hint="eastAsia"/>
                      <w:snapToGrid w:val="0"/>
                      <w:color w:val="000000"/>
                      <w:szCs w:val="21"/>
                    </w:rPr>
                    <w:t>年修订）第四十三条规定：太湖流域一、二、三级保护区禁止下列行为：“（一）新建、改建、扩建化学制浆造纸、制革、酿造、染料、印染、电镀以及其他排放含磷、氮等污染物的企业和项目，城镇污水集中处理等环境基础设施项目和第四十六条规定的情形除外……”本项目位于太湖流域三级保护区，项目不在上述禁止和限制行业范围内，并且生产废水排放不含氮、磷，因此符合该条例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snapToGrid w:val="0"/>
                      <w:color w:val="000000"/>
                      <w:szCs w:val="21"/>
                    </w:rPr>
                    <w:t>8</w:t>
                  </w:r>
                </w:p>
              </w:tc>
              <w:tc>
                <w:tcPr>
                  <w:tcW w:w="1338" w:type="pct"/>
                  <w:vAlign w:val="center"/>
                </w:tcPr>
                <w:p>
                  <w:pPr>
                    <w:widowControl/>
                    <w:jc w:val="center"/>
                    <w:rPr>
                      <w:snapToGrid w:val="0"/>
                      <w:color w:val="000000"/>
                      <w:szCs w:val="21"/>
                    </w:rPr>
                  </w:pPr>
                  <w:r>
                    <w:rPr>
                      <w:rFonts w:hint="eastAsia"/>
                      <w:snapToGrid w:val="0"/>
                      <w:color w:val="000000"/>
                      <w:szCs w:val="21"/>
                    </w:rPr>
                    <w:t>《苏州市主体功能区实施意见》</w:t>
                  </w:r>
                </w:p>
              </w:tc>
              <w:tc>
                <w:tcPr>
                  <w:tcW w:w="3389" w:type="pct"/>
                  <w:vAlign w:val="center"/>
                </w:tcPr>
                <w:p>
                  <w:pPr>
                    <w:widowControl/>
                    <w:jc w:val="center"/>
                    <w:rPr>
                      <w:snapToGrid w:val="0"/>
                      <w:color w:val="000000"/>
                      <w:szCs w:val="21"/>
                    </w:rPr>
                  </w:pPr>
                  <w:r>
                    <w:rPr>
                      <w:rFonts w:hint="eastAsia"/>
                      <w:snapToGrid w:val="0"/>
                      <w:color w:val="000000"/>
                      <w:szCs w:val="21"/>
                    </w:rPr>
                    <w:t>经查《苏州市主体功能区实施意见》，本项目不在其限制开发区域和禁止开发区域内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rFonts w:hint="eastAsia"/>
                      <w:snapToGrid w:val="0"/>
                      <w:color w:val="000000"/>
                      <w:szCs w:val="21"/>
                    </w:rPr>
                    <w:t>9</w:t>
                  </w:r>
                </w:p>
              </w:tc>
              <w:tc>
                <w:tcPr>
                  <w:tcW w:w="1338" w:type="pct"/>
                  <w:vAlign w:val="center"/>
                </w:tcPr>
                <w:p>
                  <w:pPr>
                    <w:widowControl/>
                    <w:jc w:val="center"/>
                    <w:rPr>
                      <w:snapToGrid w:val="0"/>
                      <w:color w:val="000000"/>
                      <w:szCs w:val="21"/>
                    </w:rPr>
                  </w:pPr>
                  <w:r>
                    <w:rPr>
                      <w:rFonts w:hint="eastAsia"/>
                      <w:snapToGrid w:val="0"/>
                      <w:color w:val="000000"/>
                      <w:szCs w:val="21"/>
                    </w:rPr>
                    <w:t>《苏州市产业发展导向目录（2007年本）》</w:t>
                  </w:r>
                </w:p>
              </w:tc>
              <w:tc>
                <w:tcPr>
                  <w:tcW w:w="3389" w:type="pct"/>
                  <w:vAlign w:val="center"/>
                </w:tcPr>
                <w:p>
                  <w:pPr>
                    <w:widowControl/>
                    <w:jc w:val="center"/>
                    <w:rPr>
                      <w:snapToGrid w:val="0"/>
                      <w:color w:val="000000"/>
                      <w:szCs w:val="21"/>
                    </w:rPr>
                  </w:pPr>
                  <w:r>
                    <w:rPr>
                      <w:rFonts w:hint="eastAsia"/>
                      <w:snapToGrid w:val="0"/>
                      <w:color w:val="000000"/>
                      <w:szCs w:val="21"/>
                    </w:rPr>
                    <w:t>本项目不属于《苏州市产业发展导向目录（2007年本）》中限制、禁止类、淘汰类，属于允许类。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 w:type="pct"/>
                  <w:vAlign w:val="center"/>
                </w:tcPr>
                <w:p>
                  <w:pPr>
                    <w:widowControl/>
                    <w:jc w:val="center"/>
                    <w:rPr>
                      <w:snapToGrid w:val="0"/>
                      <w:color w:val="000000"/>
                      <w:szCs w:val="21"/>
                    </w:rPr>
                  </w:pPr>
                  <w:r>
                    <w:rPr>
                      <w:rFonts w:hint="eastAsia"/>
                      <w:snapToGrid w:val="0"/>
                      <w:color w:val="000000"/>
                      <w:szCs w:val="21"/>
                    </w:rPr>
                    <w:t>10</w:t>
                  </w:r>
                </w:p>
              </w:tc>
              <w:tc>
                <w:tcPr>
                  <w:tcW w:w="1338" w:type="pct"/>
                  <w:vAlign w:val="center"/>
                </w:tcPr>
                <w:p>
                  <w:pPr>
                    <w:jc w:val="center"/>
                    <w:rPr>
                      <w:snapToGrid w:val="0"/>
                      <w:color w:val="000000"/>
                      <w:szCs w:val="21"/>
                    </w:rPr>
                  </w:pPr>
                  <w:r>
                    <w:rPr>
                      <w:rFonts w:hint="eastAsia"/>
                      <w:snapToGrid w:val="0"/>
                      <w:color w:val="000000"/>
                      <w:szCs w:val="21"/>
                    </w:rPr>
                    <w:t>《长江经济带发展负面清单指南(试行)》</w:t>
                  </w:r>
                </w:p>
              </w:tc>
              <w:tc>
                <w:tcPr>
                  <w:tcW w:w="3389" w:type="pct"/>
                  <w:vAlign w:val="center"/>
                </w:tcPr>
                <w:p>
                  <w:pPr>
                    <w:jc w:val="center"/>
                    <w:rPr>
                      <w:snapToGrid w:val="0"/>
                      <w:color w:val="000000"/>
                      <w:szCs w:val="21"/>
                    </w:rPr>
                  </w:pPr>
                  <w:r>
                    <w:rPr>
                      <w:rFonts w:hint="eastAsia"/>
                      <w:snapToGrid w:val="0"/>
                      <w:color w:val="000000"/>
                      <w:szCs w:val="21"/>
                    </w:rPr>
                    <w:t>经查《长江经济带发展负面清单指南(试行)》，本项目不属于负面清单</w:t>
                  </w:r>
                </w:p>
              </w:tc>
            </w:tr>
          </w:tbl>
          <w:p>
            <w:pPr>
              <w:tabs>
                <w:tab w:val="left" w:pos="0"/>
              </w:tabs>
              <w:spacing w:line="360" w:lineRule="auto"/>
              <w:ind w:firstLine="480" w:firstLineChars="200"/>
              <w:rPr>
                <w:bCs/>
                <w:sz w:val="24"/>
              </w:rPr>
            </w:pPr>
            <w:r>
              <w:rPr>
                <w:bCs/>
                <w:sz w:val="24"/>
              </w:rPr>
              <w:t>综上所述，本项目符合“三线一单”要求。</w:t>
            </w:r>
          </w:p>
          <w:p>
            <w:pPr>
              <w:tabs>
                <w:tab w:val="left" w:pos="0"/>
              </w:tabs>
              <w:spacing w:line="360" w:lineRule="auto"/>
              <w:ind w:firstLine="480" w:firstLineChars="200"/>
              <w:rPr>
                <w:bCs/>
                <w:sz w:val="24"/>
              </w:rPr>
            </w:pPr>
            <w:r>
              <w:rPr>
                <w:bCs/>
                <w:sz w:val="24"/>
              </w:rPr>
              <w:t>（5）与《苏州市“三线一单”生态环境分区管控实施方案》（苏环办字[2020]313号）相符性分析</w:t>
            </w:r>
          </w:p>
          <w:p>
            <w:pPr>
              <w:tabs>
                <w:tab w:val="left" w:pos="0"/>
              </w:tabs>
              <w:spacing w:line="360" w:lineRule="auto"/>
              <w:ind w:firstLine="480" w:firstLineChars="200"/>
              <w:rPr>
                <w:bCs/>
                <w:sz w:val="24"/>
              </w:rPr>
            </w:pPr>
            <w:r>
              <w:rPr>
                <w:bCs/>
                <w:sz w:val="24"/>
              </w:rPr>
              <w:t>本项目位于苏州高新区</w:t>
            </w:r>
            <w:r>
              <w:rPr>
                <w:rFonts w:hint="eastAsia"/>
                <w:bCs/>
                <w:sz w:val="24"/>
              </w:rPr>
              <w:t>东渚街道金沙江路158号</w:t>
            </w:r>
            <w:r>
              <w:rPr>
                <w:bCs/>
                <w:sz w:val="24"/>
              </w:rPr>
              <w:t>，对照《苏州市“三线一单”生态环境分区管控实施方案》（苏环办字[2020]313号）中“苏州市环境管控单元名录”，属于重点保护单元中的“苏州国家高新技术产业开发区（含苏州浒墅关经济开发区、苏州高新技术产业开发区综合保税区）”。项目与“苏州市重点保护单元生态环境准入清单”的相符性分析见下表。</w:t>
            </w:r>
          </w:p>
          <w:p>
            <w:pPr>
              <w:tabs>
                <w:tab w:val="left" w:pos="0"/>
              </w:tabs>
              <w:spacing w:before="60"/>
              <w:jc w:val="center"/>
              <w:rPr>
                <w:b/>
                <w:sz w:val="24"/>
              </w:rPr>
            </w:pPr>
            <w:r>
              <w:rPr>
                <w:b/>
                <w:sz w:val="24"/>
              </w:rPr>
              <w:t>表1-5  项目与《苏州市重点保护单元生态环境准入清单》相符性分析</w:t>
            </w:r>
          </w:p>
          <w:tbl>
            <w:tblPr>
              <w:tblStyle w:val="20"/>
              <w:tblW w:w="807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3375"/>
              <w:gridCol w:w="3120"/>
              <w:gridCol w:w="8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453" w:type="pct"/>
                  <w:vAlign w:val="center"/>
                </w:tcPr>
                <w:p>
                  <w:pPr>
                    <w:autoSpaceDE w:val="0"/>
                    <w:autoSpaceDN w:val="0"/>
                    <w:adjustRightInd w:val="0"/>
                    <w:snapToGrid w:val="0"/>
                    <w:jc w:val="center"/>
                    <w:rPr>
                      <w:b/>
                      <w:bCs/>
                      <w:szCs w:val="21"/>
                    </w:rPr>
                  </w:pPr>
                  <w:r>
                    <w:rPr>
                      <w:b/>
                      <w:bCs/>
                      <w:szCs w:val="21"/>
                    </w:rPr>
                    <w:t>管控类别</w:t>
                  </w:r>
                </w:p>
              </w:tc>
              <w:tc>
                <w:tcPr>
                  <w:tcW w:w="2089" w:type="pct"/>
                  <w:vAlign w:val="center"/>
                </w:tcPr>
                <w:p>
                  <w:pPr>
                    <w:autoSpaceDE w:val="0"/>
                    <w:autoSpaceDN w:val="0"/>
                    <w:adjustRightInd w:val="0"/>
                    <w:snapToGrid w:val="0"/>
                    <w:jc w:val="center"/>
                    <w:rPr>
                      <w:b/>
                      <w:bCs/>
                      <w:kern w:val="0"/>
                      <w:szCs w:val="21"/>
                    </w:rPr>
                  </w:pPr>
                  <w:r>
                    <w:rPr>
                      <w:b/>
                      <w:bCs/>
                      <w:kern w:val="0"/>
                      <w:szCs w:val="21"/>
                    </w:rPr>
                    <w:t>重点管控要求</w:t>
                  </w:r>
                </w:p>
              </w:tc>
              <w:tc>
                <w:tcPr>
                  <w:tcW w:w="1931" w:type="pct"/>
                  <w:vAlign w:val="center"/>
                </w:tcPr>
                <w:p>
                  <w:pPr>
                    <w:adjustRightInd w:val="0"/>
                    <w:snapToGrid w:val="0"/>
                    <w:jc w:val="center"/>
                    <w:rPr>
                      <w:b/>
                      <w:bCs/>
                      <w:szCs w:val="21"/>
                    </w:rPr>
                  </w:pPr>
                  <w:r>
                    <w:rPr>
                      <w:b/>
                      <w:bCs/>
                      <w:kern w:val="0"/>
                      <w:szCs w:val="21"/>
                    </w:rPr>
                    <w:t>本项目情况</w:t>
                  </w:r>
                </w:p>
              </w:tc>
              <w:tc>
                <w:tcPr>
                  <w:tcW w:w="526" w:type="pct"/>
                  <w:vAlign w:val="center"/>
                </w:tcPr>
                <w:p>
                  <w:pPr>
                    <w:autoSpaceDE w:val="0"/>
                    <w:autoSpaceDN w:val="0"/>
                    <w:adjustRightInd w:val="0"/>
                    <w:snapToGrid w:val="0"/>
                    <w:jc w:val="center"/>
                    <w:rPr>
                      <w:b/>
                      <w:bCs/>
                      <w:kern w:val="0"/>
                      <w:szCs w:val="21"/>
                    </w:rPr>
                  </w:pPr>
                  <w:r>
                    <w:rPr>
                      <w:b/>
                      <w:bCs/>
                      <w:kern w:val="0"/>
                      <w:szCs w:val="21"/>
                    </w:rPr>
                    <w:t>相符性分析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453" w:type="pct"/>
                  <w:vAlign w:val="center"/>
                </w:tcPr>
                <w:p>
                  <w:pPr>
                    <w:adjustRightInd w:val="0"/>
                    <w:snapToGrid w:val="0"/>
                    <w:jc w:val="center"/>
                    <w:rPr>
                      <w:szCs w:val="21"/>
                    </w:rPr>
                  </w:pPr>
                  <w:r>
                    <w:rPr>
                      <w:szCs w:val="21"/>
                    </w:rPr>
                    <w:t>空间布局约束</w:t>
                  </w:r>
                </w:p>
              </w:tc>
              <w:tc>
                <w:tcPr>
                  <w:tcW w:w="2089" w:type="pct"/>
                  <w:vAlign w:val="center"/>
                </w:tcPr>
                <w:p>
                  <w:pPr>
                    <w:adjustRightInd w:val="0"/>
                    <w:snapToGrid w:val="0"/>
                    <w:rPr>
                      <w:szCs w:val="21"/>
                    </w:rPr>
                  </w:pPr>
                  <w:r>
                    <w:rPr>
                      <w:szCs w:val="21"/>
                    </w:rPr>
                    <w:t>（1）禁止引进列入《产业结构调整指导目录》《江苏省工业和信息产业结构调整指导目录》《江苏省工业和信息产业结构调整、限制、淘汰目录及能耗限额》海汰类的产业；禁止引进列入《外商投资产业指导目录》禁止类的产业。</w:t>
                  </w:r>
                </w:p>
                <w:p>
                  <w:pPr>
                    <w:adjustRightInd w:val="0"/>
                    <w:snapToGrid w:val="0"/>
                    <w:rPr>
                      <w:szCs w:val="21"/>
                    </w:rPr>
                  </w:pPr>
                  <w:r>
                    <w:rPr>
                      <w:szCs w:val="21"/>
                    </w:rPr>
                    <w:t>（2）严格执行园区总体规划及规划环评中的提出的空间布局和产业准入要求，禁止引进不符合园区产业定位的项目。</w:t>
                  </w:r>
                </w:p>
                <w:p>
                  <w:pPr>
                    <w:adjustRightInd w:val="0"/>
                    <w:snapToGrid w:val="0"/>
                    <w:rPr>
                      <w:szCs w:val="21"/>
                    </w:rPr>
                  </w:pPr>
                  <w:r>
                    <w:rPr>
                      <w:szCs w:val="21"/>
                    </w:rPr>
                    <w:t>（3）严格执行《江苏省太湖水污染防治条例》的分级保护要求,禁止引进不符合《条例》要求的项目。</w:t>
                  </w:r>
                </w:p>
                <w:p>
                  <w:pPr>
                    <w:adjustRightInd w:val="0"/>
                    <w:snapToGrid w:val="0"/>
                    <w:rPr>
                      <w:szCs w:val="21"/>
                    </w:rPr>
                  </w:pPr>
                  <w:r>
                    <w:rPr>
                      <w:szCs w:val="21"/>
                    </w:rPr>
                    <w:t>（4）严格执行《阳澄湖水源水质保护条例》相关管控要求。</w:t>
                  </w:r>
                </w:p>
                <w:p>
                  <w:pPr>
                    <w:adjustRightInd w:val="0"/>
                    <w:snapToGrid w:val="0"/>
                    <w:rPr>
                      <w:szCs w:val="21"/>
                    </w:rPr>
                  </w:pPr>
                  <w:r>
                    <w:rPr>
                      <w:szCs w:val="21"/>
                    </w:rPr>
                    <w:t>（5）严格执行《中华人民共和国长江保护法》。</w:t>
                  </w:r>
                </w:p>
                <w:p>
                  <w:pPr>
                    <w:adjustRightInd w:val="0"/>
                    <w:snapToGrid w:val="0"/>
                    <w:rPr>
                      <w:szCs w:val="21"/>
                    </w:rPr>
                  </w:pPr>
                  <w:r>
                    <w:rPr>
                      <w:szCs w:val="21"/>
                    </w:rPr>
                    <w:t>（6）禁止引进列入上级生态环境负面清单的项目。</w:t>
                  </w:r>
                </w:p>
              </w:tc>
              <w:tc>
                <w:tcPr>
                  <w:tcW w:w="1931" w:type="pct"/>
                  <w:vAlign w:val="center"/>
                </w:tcPr>
                <w:p>
                  <w:pPr>
                    <w:adjustRightInd w:val="0"/>
                    <w:snapToGrid w:val="0"/>
                    <w:rPr>
                      <w:szCs w:val="21"/>
                    </w:rPr>
                  </w:pPr>
                  <w:r>
                    <w:rPr>
                      <w:szCs w:val="21"/>
                    </w:rPr>
                    <w:t>（1）本项目为允许类，不违规各类产业指导目录。</w:t>
                  </w:r>
                </w:p>
                <w:p>
                  <w:pPr>
                    <w:adjustRightInd w:val="0"/>
                    <w:snapToGrid w:val="0"/>
                    <w:rPr>
                      <w:szCs w:val="21"/>
                    </w:rPr>
                  </w:pPr>
                  <w:r>
                    <w:rPr>
                      <w:szCs w:val="21"/>
                    </w:rPr>
                    <w:t>（2）本项目符合苏州高新区总体规划中的空间布局和产业准入要求。</w:t>
                  </w:r>
                </w:p>
                <w:p>
                  <w:pPr>
                    <w:adjustRightInd w:val="0"/>
                    <w:snapToGrid w:val="0"/>
                    <w:rPr>
                      <w:szCs w:val="21"/>
                    </w:rPr>
                  </w:pPr>
                  <w:r>
                    <w:rPr>
                      <w:szCs w:val="21"/>
                    </w:rPr>
                    <w:t>（3）本项目在太湖流域三级保护区内，不属于太湖流域三级保护区禁止建设项目。本项目无含氮、磷生产废水排放，生活污水与清洗废水接入</w:t>
                  </w:r>
                  <w:r>
                    <w:rPr>
                      <w:rFonts w:hint="eastAsia"/>
                      <w:szCs w:val="21"/>
                    </w:rPr>
                    <w:t>科技城水质净化厂</w:t>
                  </w:r>
                  <w:r>
                    <w:rPr>
                      <w:szCs w:val="21"/>
                    </w:rPr>
                    <w:t>处理，不新增排污口；不违背《条例》相关要求。</w:t>
                  </w:r>
                </w:p>
                <w:p>
                  <w:pPr>
                    <w:adjustRightInd w:val="0"/>
                    <w:snapToGrid w:val="0"/>
                    <w:rPr>
                      <w:szCs w:val="21"/>
                    </w:rPr>
                  </w:pPr>
                  <w:r>
                    <w:rPr>
                      <w:szCs w:val="21"/>
                    </w:rPr>
                    <w:t>（4）本项目不在阳澄湖保护区内。</w:t>
                  </w:r>
                </w:p>
                <w:p>
                  <w:pPr>
                    <w:pStyle w:val="56"/>
                    <w:rPr>
                      <w:rFonts w:ascii="Times New Roman" w:hAnsi="Times New Roman"/>
                      <w:color w:val="auto"/>
                      <w:sz w:val="21"/>
                      <w:szCs w:val="21"/>
                    </w:rPr>
                  </w:pPr>
                  <w:r>
                    <w:rPr>
                      <w:rFonts w:ascii="Times New Roman" w:hAnsi="Times New Roman"/>
                      <w:color w:val="auto"/>
                      <w:sz w:val="21"/>
                      <w:szCs w:val="21"/>
                    </w:rPr>
                    <w:t>（5）本项目不在长江岸线内，不在其管制和保护范围内。</w:t>
                  </w:r>
                </w:p>
                <w:p>
                  <w:pPr>
                    <w:rPr>
                      <w:szCs w:val="21"/>
                    </w:rPr>
                  </w:pPr>
                  <w:r>
                    <w:rPr>
                      <w:szCs w:val="21"/>
                    </w:rPr>
                    <w:t>（6）本项目不在上级生态环境负面清单内。</w:t>
                  </w:r>
                </w:p>
              </w:tc>
              <w:tc>
                <w:tcPr>
                  <w:tcW w:w="526" w:type="pct"/>
                  <w:vAlign w:val="center"/>
                </w:tcPr>
                <w:p>
                  <w:pPr>
                    <w:adjustRightInd w:val="0"/>
                    <w:snapToGrid w:val="0"/>
                    <w:jc w:val="center"/>
                    <w:rPr>
                      <w:szCs w:val="21"/>
                    </w:rPr>
                  </w:pPr>
                  <w:r>
                    <w:rPr>
                      <w:szCs w:val="21"/>
                    </w:rPr>
                    <w:t>相符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453" w:type="pct"/>
                  <w:vAlign w:val="center"/>
                </w:tcPr>
                <w:p>
                  <w:pPr>
                    <w:adjustRightInd w:val="0"/>
                    <w:snapToGrid w:val="0"/>
                    <w:jc w:val="center"/>
                    <w:rPr>
                      <w:szCs w:val="21"/>
                    </w:rPr>
                  </w:pPr>
                  <w:r>
                    <w:rPr>
                      <w:szCs w:val="21"/>
                    </w:rPr>
                    <w:t>污染物排放管控</w:t>
                  </w:r>
                </w:p>
              </w:tc>
              <w:tc>
                <w:tcPr>
                  <w:tcW w:w="2089" w:type="pct"/>
                  <w:vAlign w:val="center"/>
                </w:tcPr>
                <w:p>
                  <w:pPr>
                    <w:adjustRightInd w:val="0"/>
                    <w:snapToGrid w:val="0"/>
                    <w:rPr>
                      <w:szCs w:val="21"/>
                    </w:rPr>
                  </w:pPr>
                  <w:r>
                    <w:rPr>
                      <w:szCs w:val="21"/>
                    </w:rPr>
                    <w:t>（1）园区内企业污染物排放应满足相关国家、地方污染物排放标准要求。（2）园区污染物排放总量按照园区总体规划、规划环评及审查意见的要求进行管控。</w:t>
                  </w:r>
                </w:p>
                <w:p>
                  <w:pPr>
                    <w:adjustRightInd w:val="0"/>
                    <w:snapToGrid w:val="0"/>
                    <w:rPr>
                      <w:szCs w:val="21"/>
                    </w:rPr>
                  </w:pPr>
                  <w:r>
                    <w:rPr>
                      <w:szCs w:val="21"/>
                    </w:rPr>
                    <w:t>（3）根据区域环境质量改善目标，采取有效措施减少污染物排放量，确保区域环境质量持续改善。</w:t>
                  </w:r>
                </w:p>
              </w:tc>
              <w:tc>
                <w:tcPr>
                  <w:tcW w:w="1931" w:type="pct"/>
                  <w:vAlign w:val="center"/>
                </w:tcPr>
                <w:p>
                  <w:pPr>
                    <w:adjustRightInd w:val="0"/>
                    <w:snapToGrid w:val="0"/>
                    <w:rPr>
                      <w:szCs w:val="21"/>
                    </w:rPr>
                  </w:pPr>
                  <w:r>
                    <w:rPr>
                      <w:szCs w:val="21"/>
                    </w:rPr>
                    <w:t>（1）本项目污染物排放源强均能够做到达标排放：其中废气经收集采用活性炭处理后达标排放；废水能够达到</w:t>
                  </w:r>
                  <w:r>
                    <w:rPr>
                      <w:rFonts w:hint="eastAsia"/>
                      <w:szCs w:val="21"/>
                    </w:rPr>
                    <w:t>科技城</w:t>
                  </w:r>
                  <w:r>
                    <w:rPr>
                      <w:szCs w:val="21"/>
                    </w:rPr>
                    <w:t>水质净化厂接管标准，排入</w:t>
                  </w:r>
                  <w:r>
                    <w:rPr>
                      <w:rFonts w:hint="eastAsia"/>
                      <w:szCs w:val="21"/>
                    </w:rPr>
                    <w:t>科技城</w:t>
                  </w:r>
                  <w:r>
                    <w:rPr>
                      <w:szCs w:val="21"/>
                    </w:rPr>
                    <w:t>水质净化厂处理；噪声经采用低噪声设备，并采取有效的隔音措施及加强管理后达标排放。</w:t>
                  </w:r>
                </w:p>
                <w:p>
                  <w:pPr>
                    <w:pStyle w:val="56"/>
                    <w:rPr>
                      <w:rFonts w:ascii="Times New Roman" w:hAnsi="Times New Roman"/>
                      <w:color w:val="auto"/>
                      <w:sz w:val="21"/>
                      <w:szCs w:val="21"/>
                    </w:rPr>
                  </w:pPr>
                  <w:r>
                    <w:rPr>
                      <w:rFonts w:ascii="Times New Roman" w:hAnsi="Times New Roman"/>
                      <w:color w:val="auto"/>
                      <w:sz w:val="21"/>
                      <w:szCs w:val="21"/>
                    </w:rPr>
                    <w:t>（2）本项目有组织排放废气总量在高新区范围内平衡，废水总量纳入</w:t>
                  </w:r>
                  <w:r>
                    <w:rPr>
                      <w:rFonts w:hint="eastAsia" w:ascii="Times New Roman" w:hAnsi="Times New Roman"/>
                      <w:color w:val="auto"/>
                      <w:sz w:val="21"/>
                      <w:szCs w:val="21"/>
                    </w:rPr>
                    <w:t>科技城</w:t>
                  </w:r>
                  <w:r>
                    <w:rPr>
                      <w:rFonts w:ascii="Times New Roman" w:hAnsi="Times New Roman"/>
                      <w:color w:val="auto"/>
                      <w:sz w:val="21"/>
                      <w:szCs w:val="21"/>
                    </w:rPr>
                    <w:t>水质净化厂的总量范围内。</w:t>
                  </w:r>
                </w:p>
                <w:p>
                  <w:pPr>
                    <w:rPr>
                      <w:szCs w:val="21"/>
                    </w:rPr>
                  </w:pPr>
                  <w:r>
                    <w:rPr>
                      <w:szCs w:val="21"/>
                    </w:rPr>
                    <w:t>（3）本项目废气经收集采用活性炭处理后减少排放量。</w:t>
                  </w:r>
                </w:p>
              </w:tc>
              <w:tc>
                <w:tcPr>
                  <w:tcW w:w="526" w:type="pct"/>
                  <w:vAlign w:val="center"/>
                </w:tcPr>
                <w:p>
                  <w:pPr>
                    <w:adjustRightInd w:val="0"/>
                    <w:snapToGrid w:val="0"/>
                    <w:jc w:val="center"/>
                    <w:rPr>
                      <w:szCs w:val="21"/>
                    </w:rPr>
                  </w:pPr>
                  <w:r>
                    <w:rPr>
                      <w:szCs w:val="21"/>
                    </w:rPr>
                    <w:t>相符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453" w:type="pct"/>
                  <w:vAlign w:val="center"/>
                </w:tcPr>
                <w:p>
                  <w:pPr>
                    <w:adjustRightInd w:val="0"/>
                    <w:snapToGrid w:val="0"/>
                    <w:jc w:val="center"/>
                    <w:rPr>
                      <w:szCs w:val="21"/>
                    </w:rPr>
                  </w:pPr>
                  <w:r>
                    <w:rPr>
                      <w:szCs w:val="21"/>
                    </w:rPr>
                    <w:t>环境风险防控</w:t>
                  </w:r>
                </w:p>
              </w:tc>
              <w:tc>
                <w:tcPr>
                  <w:tcW w:w="2089" w:type="pct"/>
                  <w:vAlign w:val="center"/>
                </w:tcPr>
                <w:p>
                  <w:pPr>
                    <w:numPr>
                      <w:ilvl w:val="0"/>
                      <w:numId w:val="2"/>
                    </w:numPr>
                    <w:adjustRightInd w:val="0"/>
                    <w:snapToGrid w:val="0"/>
                    <w:rPr>
                      <w:szCs w:val="21"/>
                    </w:rPr>
                  </w:pPr>
                  <w:r>
                    <w:rPr>
                      <w:szCs w:val="21"/>
                    </w:rPr>
                    <w:t>建立以园区突发环境事件应急处置机构为核心，与地方政府和企事业单位应急处置机构联动的应急响应体系，加强应急物资装备储备，编制突发环境事件应急预案,定期开展演练。</w:t>
                  </w:r>
                </w:p>
                <w:p>
                  <w:pPr>
                    <w:numPr>
                      <w:ilvl w:val="0"/>
                      <w:numId w:val="2"/>
                    </w:numPr>
                    <w:adjustRightInd w:val="0"/>
                    <w:snapToGrid w:val="0"/>
                    <w:rPr>
                      <w:szCs w:val="21"/>
                    </w:rPr>
                  </w:pPr>
                  <w:r>
                    <w:rPr>
                      <w:szCs w:val="21"/>
                    </w:rPr>
                    <w:t>生产、使用、储存危险化学品或其他存在环境风险的企事业单位。应当制定风险防范措施，编制突发环境事件应急预案，防止发生环境事故。</w:t>
                  </w:r>
                </w:p>
                <w:p>
                  <w:pPr>
                    <w:adjustRightInd w:val="0"/>
                    <w:snapToGrid w:val="0"/>
                    <w:rPr>
                      <w:szCs w:val="21"/>
                    </w:rPr>
                  </w:pPr>
                  <w:r>
                    <w:rPr>
                      <w:szCs w:val="21"/>
                    </w:rPr>
                    <w:t>（3）加强环境影响跟踪监测,建立健全各环境要素监控体系，完善并落实园区日常环境监测与污染源监控计划。</w:t>
                  </w:r>
                </w:p>
              </w:tc>
              <w:tc>
                <w:tcPr>
                  <w:tcW w:w="1931" w:type="pct"/>
                  <w:vAlign w:val="center"/>
                </w:tcPr>
                <w:p>
                  <w:pPr>
                    <w:adjustRightInd w:val="0"/>
                    <w:snapToGrid w:val="0"/>
                    <w:rPr>
                      <w:szCs w:val="21"/>
                    </w:rPr>
                  </w:pPr>
                  <w:r>
                    <w:rPr>
                      <w:szCs w:val="21"/>
                    </w:rPr>
                    <w:t>（1）本次环评后，</w:t>
                  </w:r>
                  <w:r>
                    <w:rPr>
                      <w:bCs/>
                      <w:szCs w:val="21"/>
                    </w:rPr>
                    <w:t>按照江苏省地方标准《企事业单位和工业园区突发环境事件应急预案编制导则》（DB32/T3795-2020）的要求编制突发环境事件应急预案，并定期进行演练，</w:t>
                  </w:r>
                  <w:r>
                    <w:rPr>
                      <w:szCs w:val="21"/>
                    </w:rPr>
                    <w:t>持续开展环境安全隐患排查整治，提升应急监测能力，加强应急物资管理。</w:t>
                  </w:r>
                </w:p>
                <w:p>
                  <w:pPr>
                    <w:adjustRightInd w:val="0"/>
                    <w:snapToGrid w:val="0"/>
                    <w:rPr>
                      <w:szCs w:val="21"/>
                    </w:rPr>
                  </w:pPr>
                  <w:r>
                    <w:rPr>
                      <w:szCs w:val="21"/>
                    </w:rPr>
                    <w:t>（2）按照</w:t>
                  </w:r>
                  <w:r>
                    <w:rPr>
                      <w:kern w:val="0"/>
                      <w:szCs w:val="21"/>
                    </w:rPr>
                    <w:t>《排污单位自行监测技术指南 总则》（HJ819-2017）要求制定</w:t>
                  </w:r>
                  <w:r>
                    <w:rPr>
                      <w:szCs w:val="21"/>
                    </w:rPr>
                    <w:t>污染源监控计划</w:t>
                  </w:r>
                </w:p>
              </w:tc>
              <w:tc>
                <w:tcPr>
                  <w:tcW w:w="526" w:type="pct"/>
                  <w:vAlign w:val="center"/>
                </w:tcPr>
                <w:p>
                  <w:pPr>
                    <w:adjustRightInd w:val="0"/>
                    <w:snapToGrid w:val="0"/>
                    <w:jc w:val="center"/>
                    <w:rPr>
                      <w:szCs w:val="21"/>
                    </w:rPr>
                  </w:pPr>
                  <w:r>
                    <w:rPr>
                      <w:szCs w:val="21"/>
                    </w:rPr>
                    <w:t>相符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453" w:type="pct"/>
                  <w:vAlign w:val="center"/>
                </w:tcPr>
                <w:p>
                  <w:pPr>
                    <w:adjustRightInd w:val="0"/>
                    <w:snapToGrid w:val="0"/>
                    <w:jc w:val="center"/>
                    <w:rPr>
                      <w:szCs w:val="21"/>
                    </w:rPr>
                  </w:pPr>
                  <w:r>
                    <w:rPr>
                      <w:szCs w:val="21"/>
                    </w:rPr>
                    <w:t>资源开发效率要求</w:t>
                  </w:r>
                </w:p>
              </w:tc>
              <w:tc>
                <w:tcPr>
                  <w:tcW w:w="2089" w:type="pct"/>
                  <w:vAlign w:val="center"/>
                </w:tcPr>
                <w:p>
                  <w:pPr>
                    <w:numPr>
                      <w:ilvl w:val="0"/>
                      <w:numId w:val="3"/>
                    </w:numPr>
                    <w:adjustRightInd w:val="0"/>
                    <w:snapToGrid w:val="0"/>
                    <w:rPr>
                      <w:szCs w:val="21"/>
                    </w:rPr>
                  </w:pPr>
                  <w:r>
                    <w:rPr>
                      <w:szCs w:val="21"/>
                    </w:rPr>
                    <w:t>园区内企业清洁生产水平、单位工业增加值新鲜水耗和综合能耗应满足园区总体规划、规划环评及审查意见要求。</w:t>
                  </w:r>
                </w:p>
                <w:p>
                  <w:pPr>
                    <w:numPr>
                      <w:ilvl w:val="0"/>
                      <w:numId w:val="3"/>
                    </w:numPr>
                    <w:adjustRightInd w:val="0"/>
                    <w:snapToGrid w:val="0"/>
                    <w:rPr>
                      <w:szCs w:val="21"/>
                    </w:rPr>
                  </w:pPr>
                  <w:r>
                    <w:rPr>
                      <w:szCs w:val="21"/>
                    </w:rPr>
                    <w:t>禁止销售使用燃料为“Ⅲ类”（严格），具体包括:1、煤炭及其制品（包括原牒、散煤、煤矸石、煤泥、煤粉、水煤浆、型煤、焦炭、兰炭等）；2、石油焦、油页岩、原油、重油、渣油、煤焦油； 3、非专用锅炉或未配置高效除尘设施的专用锅炉燃用的生物质成型燃料；4、国家规定的其它高污染燃料。</w:t>
                  </w:r>
                </w:p>
              </w:tc>
              <w:tc>
                <w:tcPr>
                  <w:tcW w:w="1931" w:type="pct"/>
                  <w:vAlign w:val="center"/>
                </w:tcPr>
                <w:p>
                  <w:pPr>
                    <w:numPr>
                      <w:ilvl w:val="0"/>
                      <w:numId w:val="4"/>
                    </w:numPr>
                    <w:adjustRightInd w:val="0"/>
                    <w:snapToGrid w:val="0"/>
                    <w:rPr>
                      <w:szCs w:val="21"/>
                    </w:rPr>
                  </w:pPr>
                  <w:r>
                    <w:rPr>
                      <w:szCs w:val="21"/>
                    </w:rPr>
                    <w:t>本项目营运过程中消耗的电源、水资源相对区域资源利用总量较少。</w:t>
                  </w:r>
                </w:p>
                <w:p>
                  <w:pPr>
                    <w:numPr>
                      <w:ilvl w:val="0"/>
                      <w:numId w:val="4"/>
                    </w:numPr>
                    <w:adjustRightInd w:val="0"/>
                    <w:snapToGrid w:val="0"/>
                    <w:rPr>
                      <w:szCs w:val="21"/>
                    </w:rPr>
                  </w:pPr>
                  <w:r>
                    <w:rPr>
                      <w:szCs w:val="21"/>
                    </w:rPr>
                    <w:t>本项目不涉及高污染燃料。</w:t>
                  </w:r>
                </w:p>
              </w:tc>
              <w:tc>
                <w:tcPr>
                  <w:tcW w:w="526" w:type="pct"/>
                  <w:vAlign w:val="center"/>
                </w:tcPr>
                <w:p>
                  <w:pPr>
                    <w:adjustRightInd w:val="0"/>
                    <w:snapToGrid w:val="0"/>
                    <w:jc w:val="center"/>
                    <w:rPr>
                      <w:szCs w:val="21"/>
                    </w:rPr>
                  </w:pPr>
                  <w:r>
                    <w:rPr>
                      <w:szCs w:val="21"/>
                    </w:rPr>
                    <w:t>相符</w:t>
                  </w:r>
                </w:p>
              </w:tc>
            </w:tr>
          </w:tbl>
          <w:p>
            <w:pPr>
              <w:tabs>
                <w:tab w:val="left" w:pos="0"/>
              </w:tabs>
              <w:spacing w:line="360" w:lineRule="auto"/>
              <w:ind w:firstLine="480" w:firstLineChars="200"/>
              <w:jc w:val="left"/>
              <w:rPr>
                <w:bCs/>
                <w:sz w:val="24"/>
                <w:szCs w:val="32"/>
              </w:rPr>
            </w:pPr>
            <w:r>
              <w:rPr>
                <w:bCs/>
                <w:sz w:val="24"/>
                <w:szCs w:val="32"/>
              </w:rPr>
              <w:t>综上所述，本项目符合《苏州市“三线一单”生态环境分区管控实施方案》（苏环办字[2020]313号）中“重点保护单元”的各项管控要求。</w:t>
            </w:r>
          </w:p>
          <w:p>
            <w:pPr>
              <w:pStyle w:val="6"/>
              <w:spacing w:before="0" w:after="0" w:line="360" w:lineRule="auto"/>
            </w:pPr>
            <w:r>
              <w:rPr>
                <w:sz w:val="24"/>
              </w:rPr>
              <w:t>2、选址与当地规划相容性分析</w:t>
            </w:r>
          </w:p>
          <w:p>
            <w:pPr>
              <w:tabs>
                <w:tab w:val="left" w:pos="0"/>
              </w:tabs>
              <w:spacing w:line="360" w:lineRule="auto"/>
              <w:ind w:firstLine="480" w:firstLineChars="200"/>
              <w:rPr>
                <w:bCs/>
                <w:sz w:val="24"/>
              </w:rPr>
            </w:pPr>
            <w:r>
              <w:rPr>
                <w:sz w:val="24"/>
              </w:rPr>
              <w:t>项目选址于苏州高新区</w:t>
            </w:r>
            <w:r>
              <w:rPr>
                <w:rFonts w:hint="eastAsia"/>
                <w:sz w:val="24"/>
              </w:rPr>
              <w:t>东渚街道金沙江路158号12幢</w:t>
            </w:r>
            <w:r>
              <w:rPr>
                <w:sz w:val="24"/>
              </w:rPr>
              <w:t>，根据《苏州高新区开发建设规划（2015-2030年）》可知，所在地及周边为规划的工业用地，本项目为</w:t>
            </w:r>
            <w:r>
              <w:rPr>
                <w:rFonts w:hint="eastAsia"/>
                <w:sz w:val="24"/>
              </w:rPr>
              <w:t>其他电子设备制造</w:t>
            </w:r>
            <w:r>
              <w:rPr>
                <w:sz w:val="24"/>
              </w:rPr>
              <w:t>项目，故项目用地符合规划中的用地要求。项目采取有效的废气、废水、噪声、固废防治措施后，项目的生产对周围环境的影响很小，项目选址可行</w:t>
            </w:r>
            <w:r>
              <w:rPr>
                <w:snapToGrid w:val="0"/>
                <w:sz w:val="24"/>
              </w:rPr>
              <w:t>。</w:t>
            </w:r>
          </w:p>
          <w:p>
            <w:pPr>
              <w:pStyle w:val="6"/>
              <w:spacing w:before="0" w:after="0" w:line="360" w:lineRule="auto"/>
              <w:rPr>
                <w:sz w:val="24"/>
              </w:rPr>
            </w:pPr>
            <w:r>
              <w:rPr>
                <w:sz w:val="24"/>
              </w:rPr>
              <w:t>3、太湖条例相符性分析</w:t>
            </w:r>
          </w:p>
          <w:p>
            <w:pPr>
              <w:tabs>
                <w:tab w:val="left" w:pos="0"/>
              </w:tabs>
              <w:spacing w:line="360" w:lineRule="auto"/>
              <w:ind w:firstLine="480" w:firstLineChars="200"/>
              <w:jc w:val="left"/>
              <w:rPr>
                <w:sz w:val="24"/>
              </w:rPr>
            </w:pPr>
            <w:r>
              <w:rPr>
                <w:bCs/>
                <w:sz w:val="24"/>
              </w:rPr>
              <w:t>本项目地距离太湖水体最近距离</w:t>
            </w:r>
            <w:r>
              <w:rPr>
                <w:rFonts w:hint="eastAsia"/>
                <w:bCs/>
                <w:sz w:val="24"/>
              </w:rPr>
              <w:t>3.1</w:t>
            </w:r>
            <w:r>
              <w:rPr>
                <w:bCs/>
                <w:sz w:val="24"/>
              </w:rPr>
              <w:t>km，</w:t>
            </w:r>
            <w:r>
              <w:rPr>
                <w:sz w:val="24"/>
              </w:rPr>
              <w:t>对照《太湖流域管理条例》、《江苏省太湖水污染防治条例》（2021年9月29日江苏省第十三届人民代表大会常务委员会第二十五次会议修正），本项目相符性分析如下表。</w:t>
            </w:r>
          </w:p>
          <w:p>
            <w:pPr>
              <w:tabs>
                <w:tab w:val="left" w:pos="0"/>
              </w:tabs>
              <w:spacing w:before="60"/>
              <w:jc w:val="center"/>
              <w:rPr>
                <w:b/>
                <w:sz w:val="24"/>
              </w:rPr>
            </w:pPr>
            <w:r>
              <w:rPr>
                <w:b/>
                <w:sz w:val="24"/>
              </w:rPr>
              <w:t>表1-6  《太湖流域管理条例》及《江苏省太湖水污染防治条例》有关条例及相符性分析一览表</w:t>
            </w:r>
          </w:p>
          <w:tbl>
            <w:tblPr>
              <w:tblStyle w:val="2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1041"/>
              <w:gridCol w:w="4239"/>
              <w:gridCol w:w="1760"/>
              <w:gridCol w:w="8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Align w:val="center"/>
                </w:tcPr>
                <w:p>
                  <w:pPr>
                    <w:spacing w:line="320" w:lineRule="exact"/>
                    <w:jc w:val="center"/>
                    <w:rPr>
                      <w:b/>
                      <w:color w:val="000000"/>
                      <w:szCs w:val="21"/>
                    </w:rPr>
                  </w:pPr>
                  <w:r>
                    <w:rPr>
                      <w:rFonts w:ascii="宋体" w:hAnsi="宋体" w:cs="宋体"/>
                      <w:b/>
                      <w:color w:val="000000"/>
                      <w:szCs w:val="21"/>
                    </w:rPr>
                    <w:t>条例名称</w:t>
                  </w:r>
                </w:p>
              </w:tc>
              <w:tc>
                <w:tcPr>
                  <w:tcW w:w="2673" w:type="pct"/>
                  <w:vAlign w:val="center"/>
                </w:tcPr>
                <w:p>
                  <w:pPr>
                    <w:spacing w:line="276" w:lineRule="auto"/>
                    <w:jc w:val="center"/>
                    <w:rPr>
                      <w:b/>
                      <w:color w:val="000000"/>
                      <w:szCs w:val="21"/>
                    </w:rPr>
                  </w:pPr>
                  <w:r>
                    <w:rPr>
                      <w:rFonts w:ascii="宋体" w:hAnsi="宋体" w:cs="宋体"/>
                      <w:b/>
                      <w:color w:val="000000"/>
                      <w:szCs w:val="21"/>
                    </w:rPr>
                    <w:t>管理要求</w:t>
                  </w:r>
                </w:p>
              </w:tc>
              <w:tc>
                <w:tcPr>
                  <w:tcW w:w="1110" w:type="pct"/>
                  <w:vAlign w:val="center"/>
                </w:tcPr>
                <w:p>
                  <w:pPr>
                    <w:spacing w:line="276" w:lineRule="auto"/>
                    <w:jc w:val="center"/>
                    <w:rPr>
                      <w:rFonts w:ascii="宋体" w:hAnsi="宋体" w:cs="宋体"/>
                      <w:b/>
                      <w:color w:val="000000"/>
                      <w:szCs w:val="21"/>
                    </w:rPr>
                  </w:pPr>
                  <w:r>
                    <w:rPr>
                      <w:rFonts w:hint="eastAsia" w:ascii="宋体" w:hAnsi="宋体" w:cs="宋体"/>
                      <w:b/>
                      <w:color w:val="000000"/>
                      <w:szCs w:val="21"/>
                    </w:rPr>
                    <w:t>本项目管理要求</w:t>
                  </w:r>
                </w:p>
              </w:tc>
              <w:tc>
                <w:tcPr>
                  <w:tcW w:w="561" w:type="pct"/>
                  <w:vAlign w:val="center"/>
                </w:tcPr>
                <w:p>
                  <w:pPr>
                    <w:spacing w:line="276" w:lineRule="auto"/>
                    <w:jc w:val="center"/>
                    <w:rPr>
                      <w:b/>
                      <w:color w:val="000000"/>
                      <w:szCs w:val="21"/>
                    </w:rPr>
                  </w:pPr>
                  <w:r>
                    <w:rPr>
                      <w:rFonts w:ascii="宋体" w:hAnsi="宋体" w:cs="宋体"/>
                      <w:b/>
                      <w:color w:val="00000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restart"/>
                  <w:vAlign w:val="center"/>
                </w:tcPr>
                <w:p>
                  <w:pPr>
                    <w:spacing w:line="320" w:lineRule="exact"/>
                    <w:jc w:val="center"/>
                    <w:rPr>
                      <w:rFonts w:ascii="宋体" w:hAnsi="宋体" w:cs="宋体"/>
                      <w:color w:val="000000"/>
                      <w:szCs w:val="21"/>
                    </w:rPr>
                  </w:pPr>
                  <w:r>
                    <w:rPr>
                      <w:rFonts w:hint="eastAsia" w:ascii="宋体" w:hAnsi="宋体" w:cs="宋体"/>
                      <w:color w:val="000000"/>
                      <w:szCs w:val="21"/>
                    </w:rPr>
                    <w:t>《江苏省太湖水污染防治条例》</w:t>
                  </w:r>
                  <w:r>
                    <w:rPr>
                      <w:rFonts w:hAnsi="宋体"/>
                      <w:color w:val="000000"/>
                      <w:szCs w:val="21"/>
                    </w:rPr>
                    <w:t>（</w:t>
                  </w:r>
                  <w:r>
                    <w:rPr>
                      <w:color w:val="000000"/>
                      <w:szCs w:val="21"/>
                    </w:rPr>
                    <w:t>2018</w:t>
                  </w:r>
                  <w:r>
                    <w:rPr>
                      <w:rFonts w:hAnsi="宋体"/>
                      <w:color w:val="000000"/>
                      <w:szCs w:val="21"/>
                    </w:rPr>
                    <w:t>年</w:t>
                  </w:r>
                  <w:r>
                    <w:rPr>
                      <w:color w:val="000000"/>
                      <w:szCs w:val="21"/>
                    </w:rPr>
                    <w:t>5</w:t>
                  </w:r>
                  <w:r>
                    <w:rPr>
                      <w:rFonts w:hAnsi="宋体"/>
                      <w:color w:val="000000"/>
                      <w:szCs w:val="21"/>
                    </w:rPr>
                    <w:t>月</w:t>
                  </w:r>
                  <w:r>
                    <w:rPr>
                      <w:color w:val="000000"/>
                      <w:szCs w:val="21"/>
                    </w:rPr>
                    <w:t>1</w:t>
                  </w:r>
                  <w:r>
                    <w:rPr>
                      <w:rFonts w:hAnsi="宋体"/>
                      <w:color w:val="000000"/>
                      <w:szCs w:val="21"/>
                    </w:rPr>
                    <w:t>日）</w:t>
                  </w: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第四十三条：太湖流域一、二、三级保护区禁止下列行为：</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w:t>
                  </w:r>
                </w:p>
              </w:tc>
              <w:tc>
                <w:tcPr>
                  <w:tcW w:w="561"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（一）新建、改建、扩建化学纸浆造纸、制革、酿造、染料、印染、电镀以及其他排放含磷、氮等污染物的企业和项目，城镇污水集中处理等环境基础设施项目和第四十六条规定的情形除外；</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本项目不涉及上述行业。</w:t>
                  </w:r>
                </w:p>
              </w:tc>
              <w:tc>
                <w:tcPr>
                  <w:tcW w:w="561"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（二）销售、使用含磷洗涤用品；</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本项目不销售、使用含磷洗涤用品。</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（三）向水体排放或者倾倒油类、酸液、碱液、剧毒废渣废液、含放射性废渣废液、含病原体污水、工业废渣以及其他废弃物；</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w:t>
                  </w:r>
                  <w:r>
                    <w:rPr>
                      <w:rFonts w:hint="eastAsia" w:ascii="宋体" w:hAnsi="宋体" w:cs="宋体"/>
                      <w:color w:val="000000"/>
                      <w:spacing w:val="-2"/>
                      <w:szCs w:val="21"/>
                    </w:rPr>
                    <w:t>不向水体排放污染物。</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（四）在水体清洗装贮过油类或者有毒有害污染物的车辆、船舶和容器等；</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w:t>
                  </w:r>
                  <w:r>
                    <w:rPr>
                      <w:rFonts w:hint="eastAsia" w:ascii="宋体" w:hAnsi="宋体" w:cs="宋体"/>
                      <w:color w:val="000000"/>
                      <w:spacing w:val="-2"/>
                      <w:szCs w:val="21"/>
                    </w:rPr>
                    <w:t>不向水体排放污染物。</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（五）使用农药等有毒物毒杀水生生物；</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本项目不使用农药。</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（六）向水体直接排放人畜粪便、倾倒垃圾；</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本项目不直接向水体排放污染物。</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（七）围湖造地；</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本项目不围湖造地。</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（八）违法开山采石，或者进行破坏林木、植被、水生生物的活动；</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w:t>
                  </w:r>
                  <w:r>
                    <w:rPr>
                      <w:rFonts w:hint="eastAsia" w:ascii="宋体" w:hAnsi="宋体" w:cs="宋体"/>
                      <w:color w:val="000000"/>
                      <w:spacing w:val="-2"/>
                      <w:szCs w:val="21"/>
                    </w:rPr>
                    <w:t>不会进行开山采石、破坏林木、植被、水生生物的活动。</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（九）法律、法规禁止的其他行为。</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本项目不进行法律、法规禁止的其他行为。</w:t>
                  </w:r>
                </w:p>
              </w:tc>
              <w:tc>
                <w:tcPr>
                  <w:tcW w:w="561" w:type="pct"/>
                  <w:vAlign w:val="center"/>
                </w:tcPr>
                <w:p>
                  <w:pPr>
                    <w:jc w:val="center"/>
                    <w:rPr>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restart"/>
                  <w:vAlign w:val="center"/>
                </w:tcPr>
                <w:p>
                  <w:pPr>
                    <w:spacing w:line="320" w:lineRule="exact"/>
                    <w:jc w:val="center"/>
                    <w:rPr>
                      <w:rFonts w:ascii="宋体" w:hAnsi="宋体" w:cs="宋体"/>
                      <w:color w:val="000000"/>
                      <w:szCs w:val="21"/>
                    </w:rPr>
                  </w:pPr>
                  <w:r>
                    <w:rPr>
                      <w:rFonts w:hint="eastAsia" w:ascii="宋体" w:hAnsi="宋体" w:cs="宋体"/>
                      <w:color w:val="000000"/>
                      <w:szCs w:val="21"/>
                    </w:rPr>
                    <w:t>《太湖流域管理条例》</w:t>
                  </w:r>
                </w:p>
              </w:tc>
              <w:tc>
                <w:tcPr>
                  <w:tcW w:w="2673" w:type="pct"/>
                  <w:vAlign w:val="center"/>
                </w:tcPr>
                <w:p>
                  <w:pPr>
                    <w:spacing w:line="276" w:lineRule="auto"/>
                    <w:jc w:val="center"/>
                    <w:rPr>
                      <w:rFonts w:ascii="宋体" w:hAnsi="宋体" w:cs="宋体"/>
                      <w:color w:val="000000"/>
                      <w:szCs w:val="21"/>
                    </w:rPr>
                  </w:pPr>
                  <w:r>
                    <w:rPr>
                      <w:color w:val="000000"/>
                      <w:szCs w:val="21"/>
                    </w:rPr>
                    <w:t>第二十八条</w:t>
                  </w:r>
                  <w:r>
                    <w:rPr>
                      <w:rFonts w:hint="eastAsia"/>
                      <w:color w:val="000000"/>
                      <w:szCs w:val="21"/>
                    </w:rPr>
                    <w:t xml:space="preserve">  </w:t>
                  </w:r>
                  <w:r>
                    <w:rPr>
                      <w:rFonts w:ascii="宋体" w:hAnsi="宋体" w:cs="宋体"/>
                      <w:color w:val="000000"/>
                      <w:szCs w:val="21"/>
                    </w:rPr>
                    <w:t>排污单位排放水污染物，不得超过经核定的水污染物排放总量，并应当按照规定设置便于检查、采样的规范化排污口，悬挂标志牌；不得私设暗管或者采取其他规避监管的方式排放水污染物。</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本项目建成后设置便于检查、采样的规范化排污口。</w:t>
                  </w:r>
                </w:p>
              </w:tc>
              <w:tc>
                <w:tcPr>
                  <w:tcW w:w="561"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rFonts w:ascii="宋体" w:hAnsi="宋体" w:cs="宋体"/>
                      <w:color w:val="000000"/>
                      <w:szCs w:val="21"/>
                    </w:rPr>
                  </w:pPr>
                  <w:r>
                    <w:rPr>
                      <w:rFonts w:ascii="宋体" w:hAnsi="宋体" w:cs="宋体"/>
                      <w:color w:val="000000"/>
                      <w:szCs w:val="21"/>
                    </w:rPr>
                    <w:t>禁止在太湖流域设置不符合国家产业政策和水环境综合治理要求的造纸、制革、酒精、淀粉、冶金、酿造、印染、电镀等排放水污染物的生产项目，现有的生产项目不能实现达标排放的，应当依法关闭。</w:t>
                  </w:r>
                </w:p>
              </w:tc>
              <w:tc>
                <w:tcPr>
                  <w:tcW w:w="1110" w:type="pct"/>
                  <w:vAlign w:val="center"/>
                </w:tcPr>
                <w:p>
                  <w:pPr>
                    <w:spacing w:line="276" w:lineRule="auto"/>
                    <w:jc w:val="center"/>
                    <w:rPr>
                      <w:rFonts w:ascii="宋体" w:hAnsi="宋体" w:cs="宋体"/>
                      <w:color w:val="000000"/>
                      <w:szCs w:val="21"/>
                    </w:rPr>
                  </w:pPr>
                  <w:r>
                    <w:rPr>
                      <w:rFonts w:ascii="宋体" w:hAnsi="宋体" w:cs="宋体"/>
                      <w:color w:val="000000"/>
                      <w:szCs w:val="21"/>
                    </w:rPr>
                    <w:t>本项目</w:t>
                  </w:r>
                  <w:r>
                    <w:rPr>
                      <w:rFonts w:hint="eastAsia" w:ascii="宋体" w:hAnsi="宋体" w:cs="宋体"/>
                      <w:color w:val="000000"/>
                      <w:szCs w:val="21"/>
                    </w:rPr>
                    <w:t>不涉及</w:t>
                  </w:r>
                  <w:r>
                    <w:rPr>
                      <w:rFonts w:ascii="宋体" w:hAnsi="宋体" w:cs="宋体"/>
                      <w:color w:val="000000"/>
                      <w:szCs w:val="21"/>
                    </w:rPr>
                    <w:t>上述行业</w:t>
                  </w:r>
                </w:p>
              </w:tc>
              <w:tc>
                <w:tcPr>
                  <w:tcW w:w="561"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center"/>
                    <w:rPr>
                      <w:color w:val="000000"/>
                      <w:szCs w:val="21"/>
                    </w:rPr>
                  </w:pPr>
                  <w:r>
                    <w:rPr>
                      <w:rFonts w:ascii="宋体" w:hAnsi="宋体" w:cs="宋体"/>
                      <w:color w:val="000000"/>
                      <w:szCs w:val="21"/>
                    </w:rPr>
                    <w:t>在太湖流域新设企业应当符合国家规定的清洁生产要求，现有的企业尚未达到清洁生产要求的，应当按照清洁生产规划要求进行技术改造，两省一市人民政府应当加强监督检查。</w:t>
                  </w:r>
                </w:p>
              </w:tc>
              <w:tc>
                <w:tcPr>
                  <w:tcW w:w="1110"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本项目建设</w:t>
                  </w:r>
                  <w:r>
                    <w:rPr>
                      <w:rFonts w:ascii="宋体" w:hAnsi="宋体" w:cs="宋体"/>
                      <w:color w:val="000000"/>
                      <w:szCs w:val="21"/>
                    </w:rPr>
                    <w:t>符合国家规定的清洁生产要求。</w:t>
                  </w:r>
                </w:p>
              </w:tc>
              <w:tc>
                <w:tcPr>
                  <w:tcW w:w="561"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left"/>
                    <w:rPr>
                      <w:rFonts w:ascii="宋体" w:hAnsi="宋体" w:cs="宋体"/>
                      <w:color w:val="000000"/>
                      <w:szCs w:val="21"/>
                    </w:rPr>
                  </w:pPr>
                  <w:r>
                    <w:rPr>
                      <w:rFonts w:ascii="宋体" w:hAnsi="宋体" w:cs="宋体"/>
                      <w:color w:val="000000"/>
                      <w:szCs w:val="21"/>
                    </w:rPr>
                    <w:t>二十九条：新孟河、望虞河以外的其他主要入太湖河道，自河口1万米上溯至5万米河道岸线内及其岸线两侧各1000米范围内，禁止下列行为：</w:t>
                  </w:r>
                </w:p>
                <w:p>
                  <w:pPr>
                    <w:spacing w:line="276" w:lineRule="auto"/>
                    <w:jc w:val="left"/>
                    <w:rPr>
                      <w:rFonts w:ascii="宋体" w:hAnsi="宋体" w:cs="宋体"/>
                      <w:color w:val="000000"/>
                      <w:szCs w:val="21"/>
                    </w:rPr>
                  </w:pPr>
                  <w:r>
                    <w:rPr>
                      <w:rFonts w:ascii="宋体" w:hAnsi="宋体" w:cs="宋体"/>
                      <w:color w:val="000000"/>
                      <w:szCs w:val="21"/>
                    </w:rPr>
                    <w:t>（一）新建、扩建化工、医药生产项目；</w:t>
                  </w:r>
                </w:p>
                <w:p>
                  <w:pPr>
                    <w:spacing w:line="276" w:lineRule="auto"/>
                    <w:jc w:val="left"/>
                    <w:rPr>
                      <w:rFonts w:ascii="宋体" w:hAnsi="宋体" w:cs="宋体"/>
                      <w:color w:val="000000"/>
                      <w:szCs w:val="21"/>
                    </w:rPr>
                  </w:pPr>
                  <w:r>
                    <w:rPr>
                      <w:rFonts w:ascii="宋体" w:hAnsi="宋体" w:cs="宋体"/>
                      <w:color w:val="000000"/>
                      <w:szCs w:val="21"/>
                    </w:rPr>
                    <w:t>（二）新建、扩建污水集中处理设施排污口以外的排污口；</w:t>
                  </w:r>
                </w:p>
                <w:p>
                  <w:pPr>
                    <w:spacing w:line="276" w:lineRule="auto"/>
                    <w:jc w:val="left"/>
                    <w:rPr>
                      <w:rFonts w:ascii="宋体" w:hAnsi="宋体" w:cs="宋体"/>
                      <w:color w:val="000000"/>
                      <w:szCs w:val="21"/>
                    </w:rPr>
                  </w:pPr>
                  <w:r>
                    <w:rPr>
                      <w:rFonts w:ascii="宋体" w:hAnsi="宋体" w:cs="宋体"/>
                      <w:color w:val="000000"/>
                      <w:szCs w:val="21"/>
                    </w:rPr>
                    <w:t>（三）扩大水产养殖规模。</w:t>
                  </w:r>
                </w:p>
              </w:tc>
              <w:tc>
                <w:tcPr>
                  <w:tcW w:w="1110" w:type="pct"/>
                  <w:vAlign w:val="center"/>
                </w:tcPr>
                <w:p>
                  <w:pPr>
                    <w:spacing w:line="276" w:lineRule="auto"/>
                    <w:jc w:val="center"/>
                    <w:rPr>
                      <w:color w:val="000000"/>
                      <w:szCs w:val="21"/>
                    </w:rPr>
                  </w:pPr>
                  <w:r>
                    <w:rPr>
                      <w:color w:val="000000"/>
                      <w:szCs w:val="21"/>
                    </w:rPr>
                    <w:t>本项目不属于新孟河、望虞河以外的其他主要入太湖河道，自河口1万米上溯至5万米河道岸线内及其岸线两侧各1000米范围内</w:t>
                  </w:r>
                </w:p>
              </w:tc>
              <w:tc>
                <w:tcPr>
                  <w:tcW w:w="561"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56" w:type="pct"/>
                  <w:vMerge w:val="continue"/>
                  <w:vAlign w:val="center"/>
                </w:tcPr>
                <w:p>
                  <w:pPr>
                    <w:spacing w:line="320" w:lineRule="exact"/>
                    <w:jc w:val="center"/>
                    <w:rPr>
                      <w:rFonts w:ascii="宋体" w:hAnsi="宋体" w:cs="宋体"/>
                      <w:color w:val="000000"/>
                      <w:szCs w:val="21"/>
                    </w:rPr>
                  </w:pPr>
                </w:p>
              </w:tc>
              <w:tc>
                <w:tcPr>
                  <w:tcW w:w="2673" w:type="pct"/>
                  <w:vAlign w:val="center"/>
                </w:tcPr>
                <w:p>
                  <w:pPr>
                    <w:spacing w:line="276" w:lineRule="auto"/>
                    <w:jc w:val="left"/>
                    <w:rPr>
                      <w:rFonts w:ascii="宋体" w:hAnsi="宋体" w:cs="宋体"/>
                      <w:color w:val="000000"/>
                      <w:szCs w:val="21"/>
                    </w:rPr>
                  </w:pPr>
                  <w:r>
                    <w:rPr>
                      <w:rFonts w:ascii="宋体" w:hAnsi="宋体" w:cs="宋体"/>
                      <w:color w:val="000000"/>
                      <w:szCs w:val="21"/>
                    </w:rPr>
                    <w:t>第三十条</w:t>
                  </w:r>
                  <w:r>
                    <w:rPr>
                      <w:rFonts w:hint="eastAsia" w:ascii="宋体" w:hAnsi="宋体" w:cs="宋体"/>
                      <w:color w:val="000000"/>
                      <w:szCs w:val="21"/>
                    </w:rPr>
                    <w:t>：</w:t>
                  </w:r>
                  <w:r>
                    <w:rPr>
                      <w:rFonts w:ascii="宋体" w:hAnsi="宋体" w:cs="宋体"/>
                      <w:color w:val="000000"/>
                      <w:szCs w:val="21"/>
                    </w:rPr>
                    <w:t>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pPr>
                    <w:spacing w:line="276" w:lineRule="auto"/>
                    <w:jc w:val="left"/>
                    <w:rPr>
                      <w:rFonts w:ascii="宋体" w:hAnsi="宋体" w:cs="宋体"/>
                      <w:color w:val="000000"/>
                      <w:szCs w:val="21"/>
                    </w:rPr>
                  </w:pPr>
                  <w:r>
                    <w:rPr>
                      <w:rFonts w:ascii="宋体" w:hAnsi="宋体" w:cs="宋体"/>
                      <w:color w:val="000000"/>
                      <w:szCs w:val="21"/>
                    </w:rPr>
                    <w:t>（一）设置剧毒物质、危险化学品的贮存、输送设施和废物回收场、垃圾场；</w:t>
                  </w:r>
                </w:p>
                <w:p>
                  <w:pPr>
                    <w:spacing w:line="276" w:lineRule="auto"/>
                    <w:jc w:val="left"/>
                    <w:rPr>
                      <w:rFonts w:ascii="宋体" w:hAnsi="宋体" w:cs="宋体"/>
                      <w:color w:val="000000"/>
                      <w:szCs w:val="21"/>
                    </w:rPr>
                  </w:pPr>
                  <w:r>
                    <w:rPr>
                      <w:rFonts w:ascii="宋体" w:hAnsi="宋体" w:cs="宋体"/>
                      <w:color w:val="000000"/>
                      <w:szCs w:val="21"/>
                    </w:rPr>
                    <w:t>（二）设置水上餐饮经营设施；</w:t>
                  </w:r>
                </w:p>
                <w:p>
                  <w:pPr>
                    <w:spacing w:line="276" w:lineRule="auto"/>
                    <w:jc w:val="left"/>
                    <w:rPr>
                      <w:rFonts w:ascii="宋体" w:hAnsi="宋体" w:cs="宋体"/>
                      <w:color w:val="000000"/>
                      <w:szCs w:val="21"/>
                    </w:rPr>
                  </w:pPr>
                  <w:r>
                    <w:rPr>
                      <w:rFonts w:ascii="宋体" w:hAnsi="宋体" w:cs="宋体"/>
                      <w:color w:val="000000"/>
                      <w:szCs w:val="21"/>
                    </w:rPr>
                    <w:t>（三）新建、扩建高尔夫球场;</w:t>
                  </w:r>
                </w:p>
                <w:p>
                  <w:pPr>
                    <w:spacing w:line="276" w:lineRule="auto"/>
                    <w:jc w:val="left"/>
                    <w:rPr>
                      <w:rFonts w:ascii="宋体" w:hAnsi="宋体" w:cs="宋体"/>
                      <w:color w:val="000000"/>
                      <w:szCs w:val="21"/>
                    </w:rPr>
                  </w:pPr>
                  <w:r>
                    <w:rPr>
                      <w:rFonts w:ascii="宋体" w:hAnsi="宋体" w:cs="宋体"/>
                      <w:color w:val="000000"/>
                      <w:szCs w:val="21"/>
                    </w:rPr>
                    <w:t>（四）新建、扩建畜禽养殖场；</w:t>
                  </w:r>
                </w:p>
                <w:p>
                  <w:pPr>
                    <w:spacing w:line="276" w:lineRule="auto"/>
                    <w:jc w:val="left"/>
                    <w:rPr>
                      <w:rFonts w:ascii="宋体" w:hAnsi="宋体" w:cs="宋体"/>
                      <w:color w:val="000000"/>
                      <w:szCs w:val="21"/>
                    </w:rPr>
                  </w:pPr>
                  <w:r>
                    <w:rPr>
                      <w:rFonts w:ascii="宋体" w:hAnsi="宋体" w:cs="宋体"/>
                      <w:color w:val="000000"/>
                      <w:szCs w:val="21"/>
                    </w:rPr>
                    <w:t>（五）新建、扩建向水体排放污染物的建设项目；</w:t>
                  </w:r>
                </w:p>
                <w:p>
                  <w:pPr>
                    <w:spacing w:line="276" w:lineRule="auto"/>
                    <w:jc w:val="left"/>
                    <w:rPr>
                      <w:rFonts w:ascii="宋体" w:hAnsi="宋体" w:cs="宋体"/>
                      <w:color w:val="000000"/>
                      <w:szCs w:val="21"/>
                    </w:rPr>
                  </w:pPr>
                  <w:r>
                    <w:rPr>
                      <w:rFonts w:ascii="宋体" w:hAnsi="宋体" w:cs="宋体"/>
                      <w:color w:val="000000"/>
                      <w:szCs w:val="21"/>
                    </w:rPr>
                    <w:t>（六）本条例第二十九条规定的行为。</w:t>
                  </w:r>
                </w:p>
                <w:p>
                  <w:pPr>
                    <w:spacing w:line="276" w:lineRule="auto"/>
                    <w:jc w:val="left"/>
                    <w:rPr>
                      <w:rFonts w:ascii="宋体" w:hAnsi="宋体" w:cs="宋体"/>
                      <w:color w:val="000000"/>
                      <w:szCs w:val="21"/>
                    </w:rPr>
                  </w:pPr>
                  <w:r>
                    <w:rPr>
                      <w:rFonts w:ascii="宋体" w:hAnsi="宋体" w:cs="宋体"/>
                      <w:color w:val="000000"/>
                      <w:szCs w:val="21"/>
                    </w:rPr>
                    <w:t>已经设置前款第一项、第二项规定设施的，当地县级人民政府应当责令拆除或者关闭。</w:t>
                  </w:r>
                </w:p>
              </w:tc>
              <w:tc>
                <w:tcPr>
                  <w:tcW w:w="1110" w:type="pct"/>
                  <w:vAlign w:val="center"/>
                </w:tcPr>
                <w:p>
                  <w:pPr>
                    <w:spacing w:line="276" w:lineRule="auto"/>
                    <w:jc w:val="center"/>
                    <w:rPr>
                      <w:color w:val="000000"/>
                      <w:szCs w:val="21"/>
                    </w:rPr>
                  </w:pPr>
                  <w:r>
                    <w:rPr>
                      <w:color w:val="000000"/>
                      <w:szCs w:val="21"/>
                    </w:rPr>
                    <w:t>企业距离太湖岸线3.1km，厂区危险化学品仅在厂区内暂存一天使用量，不涉及水上餐饮经营设施；不涉及新建、扩建高尔夫球场；不涉及新建、扩建畜禽养殖场；不涉及新建、扩建向水体排放污染物的建设项目</w:t>
                  </w:r>
                </w:p>
              </w:tc>
              <w:tc>
                <w:tcPr>
                  <w:tcW w:w="561" w:type="pct"/>
                  <w:vAlign w:val="center"/>
                </w:tcPr>
                <w:p>
                  <w:pPr>
                    <w:spacing w:line="276" w:lineRule="auto"/>
                    <w:jc w:val="center"/>
                    <w:rPr>
                      <w:rFonts w:ascii="宋体" w:hAnsi="宋体" w:cs="宋体"/>
                      <w:color w:val="000000"/>
                      <w:szCs w:val="21"/>
                    </w:rPr>
                  </w:pPr>
                  <w:r>
                    <w:rPr>
                      <w:rFonts w:hint="eastAsia" w:ascii="宋体" w:hAnsi="宋体" w:cs="宋体"/>
                      <w:color w:val="000000"/>
                      <w:szCs w:val="21"/>
                    </w:rPr>
                    <w:t>符合</w:t>
                  </w:r>
                </w:p>
              </w:tc>
            </w:tr>
          </w:tbl>
          <w:p>
            <w:pPr>
              <w:tabs>
                <w:tab w:val="left" w:pos="0"/>
              </w:tabs>
              <w:spacing w:line="360" w:lineRule="auto"/>
              <w:ind w:firstLine="480" w:firstLineChars="200"/>
              <w:jc w:val="left"/>
              <w:rPr>
                <w:bCs/>
                <w:sz w:val="24"/>
              </w:rPr>
            </w:pPr>
            <w:r>
              <w:rPr>
                <w:bCs/>
                <w:sz w:val="24"/>
              </w:rPr>
              <w:t>综上所述，本项目符合《太湖流域管理条例》及《江苏省太湖水污染防治条例》相关要求。</w:t>
            </w:r>
          </w:p>
          <w:p>
            <w:pPr>
              <w:pStyle w:val="5"/>
              <w:keepNext w:val="0"/>
              <w:keepLines w:val="0"/>
              <w:tabs>
                <w:tab w:val="left" w:pos="849"/>
              </w:tabs>
              <w:overflowPunct/>
              <w:autoSpaceDE w:val="0"/>
              <w:autoSpaceDN w:val="0"/>
              <w:snapToGrid/>
              <w:spacing w:before="0" w:after="0" w:line="360" w:lineRule="auto"/>
              <w:ind w:left="0" w:firstLine="0" w:firstLineChars="0"/>
              <w:jc w:val="left"/>
              <w:rPr>
                <w:rFonts w:ascii="Times New Roman" w:hAnsi="Times New Roman"/>
                <w:b/>
                <w:bCs/>
                <w:color w:val="auto"/>
              </w:rPr>
            </w:pPr>
            <w:bookmarkStart w:id="4" w:name="2.6.8与《挥发性有机物无组织排放控制标准》相符性分析"/>
            <w:bookmarkEnd w:id="4"/>
            <w:bookmarkStart w:id="5" w:name="_Toc16059"/>
            <w:r>
              <w:rPr>
                <w:rFonts w:ascii="Times New Roman" w:hAnsi="Times New Roman" w:eastAsia="宋体"/>
                <w:b/>
                <w:color w:val="auto"/>
                <w:kern w:val="2"/>
                <w:sz w:val="24"/>
                <w:szCs w:val="24"/>
              </w:rPr>
              <w:t>4、与《挥发性有机物无组织排放控制标准》相符性分析</w:t>
            </w:r>
            <w:bookmarkEnd w:id="5"/>
          </w:p>
          <w:p>
            <w:pPr>
              <w:tabs>
                <w:tab w:val="left" w:pos="1863"/>
              </w:tabs>
              <w:autoSpaceDE w:val="0"/>
              <w:autoSpaceDN w:val="0"/>
              <w:spacing w:line="360" w:lineRule="auto"/>
              <w:ind w:firstLine="480" w:firstLineChars="200"/>
              <w:jc w:val="left"/>
              <w:rPr>
                <w:spacing w:val="-18"/>
                <w:sz w:val="24"/>
              </w:rPr>
            </w:pPr>
            <w:r>
              <w:rPr>
                <w:sz w:val="24"/>
              </w:rPr>
              <w:t>本项目与《挥发性有机物无组织排放控制标准》相符性分析详见下表。</w:t>
            </w:r>
          </w:p>
          <w:p>
            <w:pPr>
              <w:tabs>
                <w:tab w:val="left" w:pos="1159"/>
              </w:tabs>
              <w:spacing w:before="60"/>
              <w:jc w:val="center"/>
              <w:rPr>
                <w:b/>
                <w:sz w:val="24"/>
              </w:rPr>
            </w:pPr>
            <w:r>
              <w:rPr>
                <w:b/>
                <w:sz w:val="24"/>
              </w:rPr>
              <w:t>表1-7 本项目与《挥发性有机物无组织排放控制标准》的相符性</w:t>
            </w:r>
          </w:p>
          <w:tbl>
            <w:tblPr>
              <w:tblStyle w:val="20"/>
              <w:tblW w:w="80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6"/>
              <w:gridCol w:w="634"/>
              <w:gridCol w:w="3480"/>
              <w:gridCol w:w="2136"/>
              <w:gridCol w:w="8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6" w:type="dxa"/>
                  <w:vAlign w:val="center"/>
                </w:tcPr>
                <w:p>
                  <w:pPr>
                    <w:jc w:val="center"/>
                    <w:rPr>
                      <w:b/>
                      <w:bCs/>
                      <w:szCs w:val="21"/>
                    </w:rPr>
                  </w:pPr>
                  <w:r>
                    <w:rPr>
                      <w:b/>
                      <w:bCs/>
                      <w:szCs w:val="21"/>
                    </w:rPr>
                    <w:t>内容</w:t>
                  </w:r>
                </w:p>
              </w:tc>
              <w:tc>
                <w:tcPr>
                  <w:tcW w:w="634" w:type="dxa"/>
                  <w:vAlign w:val="center"/>
                </w:tcPr>
                <w:p>
                  <w:pPr>
                    <w:jc w:val="center"/>
                    <w:rPr>
                      <w:b/>
                      <w:bCs/>
                      <w:szCs w:val="21"/>
                    </w:rPr>
                  </w:pPr>
                  <w:r>
                    <w:rPr>
                      <w:b/>
                      <w:bCs/>
                      <w:szCs w:val="21"/>
                    </w:rPr>
                    <w:t>序号</w:t>
                  </w:r>
                </w:p>
              </w:tc>
              <w:tc>
                <w:tcPr>
                  <w:tcW w:w="3480" w:type="dxa"/>
                  <w:vAlign w:val="center"/>
                </w:tcPr>
                <w:p>
                  <w:pPr>
                    <w:jc w:val="center"/>
                    <w:rPr>
                      <w:b/>
                      <w:bCs/>
                      <w:szCs w:val="21"/>
                    </w:rPr>
                  </w:pPr>
                  <w:r>
                    <w:rPr>
                      <w:b/>
                      <w:bCs/>
                      <w:szCs w:val="21"/>
                    </w:rPr>
                    <w:t>标准要求</w:t>
                  </w:r>
                </w:p>
              </w:tc>
              <w:tc>
                <w:tcPr>
                  <w:tcW w:w="2136" w:type="dxa"/>
                  <w:vAlign w:val="center"/>
                </w:tcPr>
                <w:p>
                  <w:pPr>
                    <w:jc w:val="center"/>
                    <w:rPr>
                      <w:b/>
                      <w:bCs/>
                      <w:szCs w:val="21"/>
                    </w:rPr>
                  </w:pPr>
                  <w:r>
                    <w:rPr>
                      <w:b/>
                      <w:bCs/>
                      <w:szCs w:val="21"/>
                    </w:rPr>
                    <w:t>项目情况</w:t>
                  </w:r>
                </w:p>
              </w:tc>
              <w:tc>
                <w:tcPr>
                  <w:tcW w:w="832" w:type="dxa"/>
                  <w:vAlign w:val="center"/>
                </w:tcPr>
                <w:p>
                  <w:pPr>
                    <w:jc w:val="center"/>
                    <w:rPr>
                      <w:b/>
                      <w:bCs/>
                      <w:szCs w:val="21"/>
                    </w:rPr>
                  </w:pPr>
                  <w:r>
                    <w:rPr>
                      <w:b/>
                      <w:bCs/>
                      <w:szCs w:val="21"/>
                    </w:rPr>
                    <w:t>相符性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6" w:type="dxa"/>
                  <w:vMerge w:val="restart"/>
                  <w:vAlign w:val="center"/>
                </w:tcPr>
                <w:p>
                  <w:pPr>
                    <w:jc w:val="center"/>
                    <w:rPr>
                      <w:szCs w:val="21"/>
                    </w:rPr>
                  </w:pPr>
                  <w:r>
                    <w:rPr>
                      <w:szCs w:val="21"/>
                    </w:rPr>
                    <w:t>VOCs 物料储存无组织排放控制要求</w:t>
                  </w:r>
                </w:p>
              </w:tc>
              <w:tc>
                <w:tcPr>
                  <w:tcW w:w="634" w:type="dxa"/>
                  <w:vAlign w:val="center"/>
                </w:tcPr>
                <w:p>
                  <w:pPr>
                    <w:jc w:val="center"/>
                    <w:rPr>
                      <w:szCs w:val="21"/>
                    </w:rPr>
                  </w:pPr>
                  <w:r>
                    <w:rPr>
                      <w:szCs w:val="21"/>
                    </w:rPr>
                    <w:t>（一）</w:t>
                  </w:r>
                </w:p>
              </w:tc>
              <w:tc>
                <w:tcPr>
                  <w:tcW w:w="3480" w:type="dxa"/>
                  <w:vAlign w:val="center"/>
                </w:tcPr>
                <w:p>
                  <w:pPr>
                    <w:jc w:val="center"/>
                    <w:rPr>
                      <w:szCs w:val="21"/>
                    </w:rPr>
                  </w:pPr>
                  <w:r>
                    <w:rPr>
                      <w:szCs w:val="21"/>
                    </w:rPr>
                    <w:t>VOCs 物料应储存于密闭的容器、包装袋、储罐、储库、料仓中。</w:t>
                  </w:r>
                </w:p>
              </w:tc>
              <w:tc>
                <w:tcPr>
                  <w:tcW w:w="2136" w:type="dxa"/>
                  <w:vAlign w:val="center"/>
                </w:tcPr>
                <w:p>
                  <w:pPr>
                    <w:jc w:val="center"/>
                    <w:rPr>
                      <w:szCs w:val="21"/>
                    </w:rPr>
                  </w:pPr>
                  <w:r>
                    <w:rPr>
                      <w:szCs w:val="21"/>
                    </w:rPr>
                    <w:t>本项目 VOCs 物料全部储存于密闭容器中。</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6" w:type="dxa"/>
                  <w:vMerge w:val="continue"/>
                  <w:tcBorders>
                    <w:top w:val="nil"/>
                  </w:tcBorders>
                  <w:vAlign w:val="center"/>
                </w:tcPr>
                <w:p>
                  <w:pPr>
                    <w:jc w:val="center"/>
                    <w:rPr>
                      <w:szCs w:val="21"/>
                    </w:rPr>
                  </w:pPr>
                </w:p>
              </w:tc>
              <w:tc>
                <w:tcPr>
                  <w:tcW w:w="634" w:type="dxa"/>
                  <w:vAlign w:val="center"/>
                </w:tcPr>
                <w:p>
                  <w:pPr>
                    <w:jc w:val="center"/>
                    <w:rPr>
                      <w:szCs w:val="21"/>
                    </w:rPr>
                  </w:pPr>
                  <w:r>
                    <w:rPr>
                      <w:szCs w:val="21"/>
                    </w:rPr>
                    <w:t>（二）</w:t>
                  </w:r>
                </w:p>
              </w:tc>
              <w:tc>
                <w:tcPr>
                  <w:tcW w:w="3480" w:type="dxa"/>
                  <w:vAlign w:val="center"/>
                </w:tcPr>
                <w:p>
                  <w:pPr>
                    <w:jc w:val="center"/>
                    <w:rPr>
                      <w:szCs w:val="21"/>
                    </w:rPr>
                  </w:pPr>
                  <w:r>
                    <w:rPr>
                      <w:szCs w:val="21"/>
                    </w:rPr>
                    <w:t>盛装VOCs 物料的容器或包装袋应存放于室内，或存放于设置有雨棚、遮阳和防渗设施的专用场地。盛装VOCs 物料的容器或包装袋在非取用状态时应加盖、封口，保持密闭。</w:t>
                  </w:r>
                </w:p>
              </w:tc>
              <w:tc>
                <w:tcPr>
                  <w:tcW w:w="2136" w:type="dxa"/>
                  <w:vAlign w:val="center"/>
                </w:tcPr>
                <w:p>
                  <w:pPr>
                    <w:jc w:val="center"/>
                    <w:rPr>
                      <w:szCs w:val="21"/>
                    </w:rPr>
                  </w:pPr>
                  <w:r>
                    <w:rPr>
                      <w:szCs w:val="21"/>
                    </w:rPr>
                    <w:t>本项目 VOCs 物料全部储存于室内，容器在非取用状态时加盖密闭。</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6" w:type="dxa"/>
                  <w:vAlign w:val="center"/>
                </w:tcPr>
                <w:p>
                  <w:pPr>
                    <w:jc w:val="center"/>
                    <w:rPr>
                      <w:szCs w:val="21"/>
                    </w:rPr>
                  </w:pPr>
                  <w:r>
                    <w:rPr>
                      <w:szCs w:val="21"/>
                    </w:rPr>
                    <w:t>VOCs 物料转移和输送无组织排放控制要求</w:t>
                  </w:r>
                </w:p>
              </w:tc>
              <w:tc>
                <w:tcPr>
                  <w:tcW w:w="634" w:type="dxa"/>
                  <w:vAlign w:val="center"/>
                </w:tcPr>
                <w:p>
                  <w:pPr>
                    <w:jc w:val="center"/>
                    <w:rPr>
                      <w:szCs w:val="21"/>
                    </w:rPr>
                  </w:pPr>
                  <w:r>
                    <w:rPr>
                      <w:szCs w:val="21"/>
                    </w:rPr>
                    <w:t>（一）</w:t>
                  </w:r>
                </w:p>
              </w:tc>
              <w:tc>
                <w:tcPr>
                  <w:tcW w:w="3480" w:type="dxa"/>
                  <w:vAlign w:val="center"/>
                </w:tcPr>
                <w:p>
                  <w:pPr>
                    <w:jc w:val="center"/>
                    <w:rPr>
                      <w:szCs w:val="21"/>
                    </w:rPr>
                  </w:pPr>
                  <w:r>
                    <w:rPr>
                      <w:szCs w:val="21"/>
                    </w:rPr>
                    <w:t>液态 VOCs 物料应采用密闭管道输送。采用非管道输送方式转移液态VOCs 物料时，应采用密闭容器、罐车。</w:t>
                  </w:r>
                </w:p>
              </w:tc>
              <w:tc>
                <w:tcPr>
                  <w:tcW w:w="2136" w:type="dxa"/>
                  <w:vAlign w:val="center"/>
                </w:tcPr>
                <w:p>
                  <w:pPr>
                    <w:jc w:val="center"/>
                    <w:rPr>
                      <w:szCs w:val="21"/>
                    </w:rPr>
                  </w:pPr>
                  <w:r>
                    <w:rPr>
                      <w:szCs w:val="21"/>
                    </w:rPr>
                    <w:t>本项目 VOCs 物料运输过程均采用密闭容器保存。</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1" w:hRule="atLeast"/>
                <w:jc w:val="center"/>
              </w:trPr>
              <w:tc>
                <w:tcPr>
                  <w:tcW w:w="1016" w:type="dxa"/>
                  <w:vAlign w:val="center"/>
                </w:tcPr>
                <w:p>
                  <w:pPr>
                    <w:jc w:val="center"/>
                    <w:rPr>
                      <w:szCs w:val="21"/>
                    </w:rPr>
                  </w:pPr>
                  <w:r>
                    <w:rPr>
                      <w:szCs w:val="21"/>
                    </w:rPr>
                    <w:t>工艺过程VOCs 无组织排放控制要求</w:t>
                  </w:r>
                </w:p>
              </w:tc>
              <w:tc>
                <w:tcPr>
                  <w:tcW w:w="634" w:type="dxa"/>
                  <w:vAlign w:val="center"/>
                </w:tcPr>
                <w:p>
                  <w:pPr>
                    <w:jc w:val="center"/>
                    <w:rPr>
                      <w:szCs w:val="21"/>
                    </w:rPr>
                  </w:pPr>
                  <w:r>
                    <w:rPr>
                      <w:szCs w:val="21"/>
                    </w:rPr>
                    <w:t>（一）</w:t>
                  </w:r>
                </w:p>
              </w:tc>
              <w:tc>
                <w:tcPr>
                  <w:tcW w:w="3480" w:type="dxa"/>
                  <w:vAlign w:val="center"/>
                </w:tcPr>
                <w:p>
                  <w:pPr>
                    <w:jc w:val="center"/>
                    <w:rPr>
                      <w:szCs w:val="21"/>
                    </w:rPr>
                  </w:pPr>
                  <w:r>
                    <w:rPr>
                      <w:szCs w:val="21"/>
                    </w:rPr>
                    <w:t>VOCs 质量占比大于等于 10%的含VOCs 产品，其使用过程应采用密闭设备或在密闭空间设备或在密闭空间内操作，废气应排至 VOCs 废气收集处理系统；无法密闭的，应采取局部气体收集措施，废气应排至VOCs废气收集处理系统。</w:t>
                  </w:r>
                </w:p>
              </w:tc>
              <w:tc>
                <w:tcPr>
                  <w:tcW w:w="2136" w:type="dxa"/>
                  <w:vAlign w:val="center"/>
                </w:tcPr>
                <w:p>
                  <w:pPr>
                    <w:jc w:val="center"/>
                    <w:rPr>
                      <w:szCs w:val="21"/>
                    </w:rPr>
                  </w:pPr>
                  <w:r>
                    <w:rPr>
                      <w:szCs w:val="21"/>
                    </w:rPr>
                    <w:t>本项目生产车间内废气产生工位上均设置了集气罩，车间内排气系统与废气处理措施相连，废气经收集后排入二级活性炭吸附装置处理。</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6" w:type="dxa"/>
                  <w:vMerge w:val="restart"/>
                  <w:vAlign w:val="center"/>
                </w:tcPr>
                <w:p>
                  <w:pPr>
                    <w:jc w:val="center"/>
                    <w:rPr>
                      <w:szCs w:val="21"/>
                    </w:rPr>
                  </w:pPr>
                  <w:r>
                    <w:rPr>
                      <w:szCs w:val="21"/>
                    </w:rPr>
                    <w:t>VOCs 无组织排放废气收集处理系统要求</w:t>
                  </w:r>
                </w:p>
              </w:tc>
              <w:tc>
                <w:tcPr>
                  <w:tcW w:w="634" w:type="dxa"/>
                  <w:vAlign w:val="center"/>
                </w:tcPr>
                <w:p>
                  <w:pPr>
                    <w:jc w:val="center"/>
                    <w:rPr>
                      <w:szCs w:val="21"/>
                    </w:rPr>
                  </w:pPr>
                  <w:r>
                    <w:rPr>
                      <w:szCs w:val="21"/>
                    </w:rPr>
                    <w:t>（一）</w:t>
                  </w:r>
                </w:p>
              </w:tc>
              <w:tc>
                <w:tcPr>
                  <w:tcW w:w="3480" w:type="dxa"/>
                  <w:vAlign w:val="center"/>
                </w:tcPr>
                <w:p>
                  <w:pPr>
                    <w:jc w:val="center"/>
                    <w:rPr>
                      <w:szCs w:val="21"/>
                    </w:rPr>
                  </w:pPr>
                  <w:r>
                    <w:rPr>
                      <w:szCs w:val="21"/>
                    </w:rPr>
                    <w:t>VOCs 废气收集处理系统应与生产工艺设备同步运行。VOCs 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2136" w:type="dxa"/>
                  <w:vAlign w:val="center"/>
                </w:tcPr>
                <w:p>
                  <w:pPr>
                    <w:jc w:val="center"/>
                    <w:rPr>
                      <w:szCs w:val="21"/>
                    </w:rPr>
                  </w:pPr>
                  <w:r>
                    <w:rPr>
                      <w:szCs w:val="21"/>
                    </w:rPr>
                    <w:t>本项目 VOCs 废气收集处理系统与生产设备同步运行。</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7" w:hRule="atLeast"/>
                <w:jc w:val="center"/>
              </w:trPr>
              <w:tc>
                <w:tcPr>
                  <w:tcW w:w="1016" w:type="dxa"/>
                  <w:vMerge w:val="continue"/>
                  <w:vAlign w:val="center"/>
                </w:tcPr>
                <w:p>
                  <w:pPr>
                    <w:jc w:val="center"/>
                    <w:rPr>
                      <w:szCs w:val="21"/>
                    </w:rPr>
                  </w:pPr>
                </w:p>
              </w:tc>
              <w:tc>
                <w:tcPr>
                  <w:tcW w:w="634" w:type="dxa"/>
                  <w:vAlign w:val="center"/>
                </w:tcPr>
                <w:p>
                  <w:pPr>
                    <w:jc w:val="center"/>
                    <w:rPr>
                      <w:szCs w:val="21"/>
                    </w:rPr>
                  </w:pPr>
                  <w:r>
                    <w:rPr>
                      <w:szCs w:val="21"/>
                    </w:rPr>
                    <w:t>（二）</w:t>
                  </w:r>
                </w:p>
              </w:tc>
              <w:tc>
                <w:tcPr>
                  <w:tcW w:w="3480" w:type="dxa"/>
                  <w:vAlign w:val="center"/>
                </w:tcPr>
                <w:p>
                  <w:pPr>
                    <w:jc w:val="center"/>
                    <w:rPr>
                      <w:szCs w:val="21"/>
                    </w:rPr>
                  </w:pPr>
                  <w:r>
                    <w:rPr>
                      <w:szCs w:val="21"/>
                    </w:rPr>
                    <w:t>废气收集系统排风罩（集气罩）的设置应符合 GB/T 16758 的规定。</w:t>
                  </w:r>
                </w:p>
              </w:tc>
              <w:tc>
                <w:tcPr>
                  <w:tcW w:w="2136" w:type="dxa"/>
                  <w:vAlign w:val="center"/>
                </w:tcPr>
                <w:p>
                  <w:pPr>
                    <w:jc w:val="center"/>
                    <w:rPr>
                      <w:szCs w:val="21"/>
                    </w:rPr>
                  </w:pPr>
                  <w:r>
                    <w:rPr>
                      <w:szCs w:val="21"/>
                    </w:rPr>
                    <w:t>本项目废气收集系统设置符合 GB/T 16758 的规定。</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jc w:val="center"/>
              </w:trPr>
              <w:tc>
                <w:tcPr>
                  <w:tcW w:w="1016" w:type="dxa"/>
                  <w:vMerge w:val="continue"/>
                  <w:vAlign w:val="center"/>
                </w:tcPr>
                <w:p>
                  <w:pPr>
                    <w:jc w:val="center"/>
                    <w:rPr>
                      <w:szCs w:val="21"/>
                    </w:rPr>
                  </w:pPr>
                </w:p>
              </w:tc>
              <w:tc>
                <w:tcPr>
                  <w:tcW w:w="634" w:type="dxa"/>
                  <w:vAlign w:val="center"/>
                </w:tcPr>
                <w:p>
                  <w:pPr>
                    <w:jc w:val="center"/>
                    <w:rPr>
                      <w:szCs w:val="21"/>
                    </w:rPr>
                  </w:pPr>
                  <w:r>
                    <w:rPr>
                      <w:szCs w:val="21"/>
                    </w:rPr>
                    <w:t>（三）</w:t>
                  </w:r>
                </w:p>
              </w:tc>
              <w:tc>
                <w:tcPr>
                  <w:tcW w:w="3480" w:type="dxa"/>
                  <w:vAlign w:val="center"/>
                </w:tcPr>
                <w:p>
                  <w:pPr>
                    <w:jc w:val="center"/>
                    <w:rPr>
                      <w:szCs w:val="21"/>
                    </w:rPr>
                  </w:pPr>
                  <w:r>
                    <w:rPr>
                      <w:szCs w:val="21"/>
                    </w:rPr>
                    <w:t>废气收集系统的输送管道应密闭。</w:t>
                  </w:r>
                </w:p>
              </w:tc>
              <w:tc>
                <w:tcPr>
                  <w:tcW w:w="2136" w:type="dxa"/>
                  <w:vAlign w:val="center"/>
                </w:tcPr>
                <w:p>
                  <w:pPr>
                    <w:jc w:val="center"/>
                    <w:rPr>
                      <w:szCs w:val="21"/>
                    </w:rPr>
                  </w:pPr>
                  <w:r>
                    <w:rPr>
                      <w:szCs w:val="21"/>
                    </w:rPr>
                    <w:t>本项目废气收集系统的输送管道密闭。</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6" w:type="dxa"/>
                  <w:vMerge w:val="continue"/>
                  <w:vAlign w:val="center"/>
                </w:tcPr>
                <w:p>
                  <w:pPr>
                    <w:jc w:val="center"/>
                    <w:rPr>
                      <w:szCs w:val="21"/>
                    </w:rPr>
                  </w:pPr>
                </w:p>
              </w:tc>
              <w:tc>
                <w:tcPr>
                  <w:tcW w:w="634" w:type="dxa"/>
                  <w:vAlign w:val="center"/>
                </w:tcPr>
                <w:p>
                  <w:pPr>
                    <w:jc w:val="center"/>
                    <w:rPr>
                      <w:szCs w:val="21"/>
                    </w:rPr>
                  </w:pPr>
                  <w:r>
                    <w:rPr>
                      <w:szCs w:val="21"/>
                    </w:rPr>
                    <w:t>（四）</w:t>
                  </w:r>
                </w:p>
              </w:tc>
              <w:tc>
                <w:tcPr>
                  <w:tcW w:w="3480" w:type="dxa"/>
                  <w:vAlign w:val="center"/>
                </w:tcPr>
                <w:p>
                  <w:pPr>
                    <w:jc w:val="center"/>
                    <w:rPr>
                      <w:szCs w:val="21"/>
                    </w:rPr>
                  </w:pPr>
                  <w:r>
                    <w:rPr>
                      <w:szCs w:val="21"/>
                    </w:rPr>
                    <w:t>VOCs 废气收集处理系统污染物排放应符合 GB 16297 或相关行业排放标准的规定。</w:t>
                  </w:r>
                </w:p>
              </w:tc>
              <w:tc>
                <w:tcPr>
                  <w:tcW w:w="2136" w:type="dxa"/>
                  <w:vAlign w:val="center"/>
                </w:tcPr>
                <w:p>
                  <w:pPr>
                    <w:jc w:val="center"/>
                    <w:rPr>
                      <w:szCs w:val="21"/>
                    </w:rPr>
                  </w:pPr>
                  <w:r>
                    <w:rPr>
                      <w:szCs w:val="21"/>
                    </w:rPr>
                    <w:t>根据工程分析，本项目各 VOCs 废气收集处理系统 VOCs 排放浓度均符合GB 16297 及相关行业标准。</w:t>
                  </w:r>
                </w:p>
              </w:tc>
              <w:tc>
                <w:tcPr>
                  <w:tcW w:w="832" w:type="dxa"/>
                  <w:vAlign w:val="center"/>
                </w:tcPr>
                <w:p>
                  <w:pPr>
                    <w:jc w:val="center"/>
                    <w:rPr>
                      <w:szCs w:val="21"/>
                    </w:rPr>
                  </w:pPr>
                  <w:r>
                    <w:rPr>
                      <w:szCs w:val="21"/>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6" w:type="dxa"/>
                  <w:vMerge w:val="continue"/>
                  <w:vAlign w:val="center"/>
                </w:tcPr>
                <w:p>
                  <w:pPr>
                    <w:jc w:val="center"/>
                    <w:rPr>
                      <w:szCs w:val="21"/>
                    </w:rPr>
                  </w:pPr>
                </w:p>
              </w:tc>
              <w:tc>
                <w:tcPr>
                  <w:tcW w:w="634" w:type="dxa"/>
                  <w:vAlign w:val="center"/>
                </w:tcPr>
                <w:p>
                  <w:pPr>
                    <w:jc w:val="center"/>
                    <w:rPr>
                      <w:szCs w:val="21"/>
                    </w:rPr>
                  </w:pPr>
                  <w:r>
                    <w:rPr>
                      <w:szCs w:val="21"/>
                    </w:rPr>
                    <w:t>（五）</w:t>
                  </w:r>
                </w:p>
              </w:tc>
              <w:tc>
                <w:tcPr>
                  <w:tcW w:w="3480" w:type="dxa"/>
                  <w:vAlign w:val="center"/>
                </w:tcPr>
                <w:p>
                  <w:pPr>
                    <w:jc w:val="center"/>
                    <w:rPr>
                      <w:szCs w:val="21"/>
                    </w:rPr>
                  </w:pPr>
                  <w:r>
                    <w:rPr>
                      <w:szCs w:val="21"/>
                    </w:rPr>
                    <w:t>收集的废气中 NMHC 初始排放速率≥3kg/h时，应配置 VOCs 处理设施，处理效率不应低于 80%；对于重点地区，收集的废气中 NMHC 初始排放速≥2kg/h时，应配置 VOCs 处理设施处理效率不应低于 80%；采用的原辅材料符合国家有关低VOCs 含量产品规定的除外。</w:t>
                  </w:r>
                </w:p>
              </w:tc>
              <w:tc>
                <w:tcPr>
                  <w:tcW w:w="2136" w:type="dxa"/>
                  <w:vAlign w:val="center"/>
                </w:tcPr>
                <w:p>
                  <w:pPr>
                    <w:jc w:val="center"/>
                    <w:rPr>
                      <w:szCs w:val="21"/>
                    </w:rPr>
                  </w:pPr>
                  <w:r>
                    <w:rPr>
                      <w:szCs w:val="21"/>
                    </w:rPr>
                    <w:t>本项目设置了有机废气收集系统和处理设施，处理效率不低于90%。</w:t>
                  </w:r>
                </w:p>
              </w:tc>
              <w:tc>
                <w:tcPr>
                  <w:tcW w:w="832" w:type="dxa"/>
                  <w:vAlign w:val="center"/>
                </w:tcPr>
                <w:p>
                  <w:pPr>
                    <w:jc w:val="center"/>
                    <w:rPr>
                      <w:szCs w:val="21"/>
                    </w:rPr>
                  </w:pPr>
                  <w:r>
                    <w:rPr>
                      <w:szCs w:val="21"/>
                    </w:rPr>
                    <w:t>相符</w:t>
                  </w:r>
                </w:p>
              </w:tc>
            </w:tr>
          </w:tbl>
          <w:p>
            <w:pPr>
              <w:pStyle w:val="5"/>
              <w:keepNext w:val="0"/>
              <w:keepLines w:val="0"/>
              <w:tabs>
                <w:tab w:val="left" w:pos="849"/>
              </w:tabs>
              <w:overflowPunct/>
              <w:autoSpaceDE w:val="0"/>
              <w:autoSpaceDN w:val="0"/>
              <w:snapToGrid/>
              <w:spacing w:before="0" w:after="0" w:line="360" w:lineRule="auto"/>
              <w:ind w:left="0" w:firstLine="0" w:firstLineChars="0"/>
              <w:jc w:val="left"/>
              <w:rPr>
                <w:rFonts w:ascii="Times New Roman" w:hAnsi="Times New Roman" w:eastAsia="宋体"/>
                <w:b/>
                <w:color w:val="auto"/>
                <w:kern w:val="2"/>
                <w:sz w:val="24"/>
                <w:szCs w:val="24"/>
              </w:rPr>
            </w:pPr>
            <w:bookmarkStart w:id="6" w:name="2.6.9与《关于落实省大气污染防治行动计划实施方案严格环境影响评价准入的通知》"/>
            <w:bookmarkEnd w:id="6"/>
            <w:bookmarkStart w:id="7" w:name="2.6.11与《区管委会关于印发苏州高新区工业挥发性有机废气整治提升三年行动方案"/>
            <w:bookmarkEnd w:id="7"/>
            <w:r>
              <w:rPr>
                <w:rFonts w:ascii="Times New Roman" w:hAnsi="Times New Roman" w:eastAsia="宋体"/>
                <w:b/>
                <w:color w:val="auto"/>
                <w:kern w:val="2"/>
                <w:sz w:val="24"/>
                <w:szCs w:val="24"/>
              </w:rPr>
              <w:t>5、《省生态环境厅关于进一步做好建设项目环评审批工作的通知》（苏环办[2019]36号）相符性分析</w:t>
            </w:r>
          </w:p>
          <w:p>
            <w:pPr>
              <w:tabs>
                <w:tab w:val="left" w:pos="0"/>
              </w:tabs>
              <w:spacing w:line="360" w:lineRule="auto"/>
              <w:ind w:firstLine="480" w:firstLineChars="200"/>
              <w:jc w:val="left"/>
              <w:rPr>
                <w:bCs/>
                <w:sz w:val="24"/>
              </w:rPr>
            </w:pPr>
            <w:r>
              <w:rPr>
                <w:bCs/>
                <w:sz w:val="24"/>
              </w:rPr>
              <w:t>根据《省生态环境厅关于进一步做好建设项目环评审批工作的通知》(2019年2月2日发布〉中“改建、扩建和技术改造项目，未针对项目原有环境污染和生态破坏提出有效防止措施”、“禁止建设生产和使用高VOCs含量的溶剂型涂料、油墨、胶粘剂等项目”等要求，本项目生产过程中不涉及上述原辅料，符合《省生态环境厅关于进一步做好建设项目环评审批工作的通知》的相关要求。</w:t>
            </w:r>
          </w:p>
          <w:p>
            <w:pPr>
              <w:autoSpaceDE w:val="0"/>
              <w:autoSpaceDN w:val="0"/>
              <w:adjustRightInd w:val="0"/>
              <w:snapToGrid w:val="0"/>
              <w:spacing w:line="360" w:lineRule="auto"/>
              <w:rPr>
                <w:b/>
                <w:kern w:val="0"/>
                <w:sz w:val="24"/>
              </w:rPr>
            </w:pPr>
            <w:r>
              <w:rPr>
                <w:b/>
                <w:kern w:val="0"/>
                <w:sz w:val="24"/>
              </w:rPr>
              <w:t>6、与《省大气办关于印发&lt;江苏省挥发性有机物清洁原料替代工作方案&gt; 的通知》（苏大气办[2021]2号）相符性分析</w:t>
            </w:r>
          </w:p>
          <w:p>
            <w:pPr>
              <w:tabs>
                <w:tab w:val="left" w:pos="0"/>
              </w:tabs>
              <w:spacing w:line="360" w:lineRule="auto"/>
              <w:ind w:firstLine="480" w:firstLineChars="200"/>
              <w:jc w:val="left"/>
              <w:rPr>
                <w:bCs/>
                <w:sz w:val="24"/>
              </w:rPr>
            </w:pPr>
            <w:r>
              <w:rPr>
                <w:bCs/>
                <w:sz w:val="24"/>
              </w:rPr>
              <w:t>根据要求，禁止建设生产和使用高VOCs含量的涂料、油墨、胶黏剂等项目。2021年起，全省工业涂装、包装印刷、纺织、木材加工等行业以及涂料、油墨等生产企业的新（改、扩）建项目需满足低（无）VOCs含量限值要求。</w:t>
            </w:r>
          </w:p>
          <w:p>
            <w:pPr>
              <w:tabs>
                <w:tab w:val="left" w:pos="0"/>
              </w:tabs>
              <w:spacing w:line="360" w:lineRule="auto"/>
              <w:ind w:firstLine="480" w:firstLineChars="200"/>
              <w:jc w:val="left"/>
              <w:rPr>
                <w:bCs/>
                <w:sz w:val="24"/>
              </w:rPr>
            </w:pPr>
            <w:r>
              <w:rPr>
                <w:bCs/>
                <w:sz w:val="24"/>
              </w:rPr>
              <w:t>本项目建设生产和使用中不使用高VOCs含量的涂料、油墨、胶黏剂等，符合苏大气办[2021]2号文件要求</w:t>
            </w:r>
            <w:r>
              <w:rPr>
                <w:rFonts w:hint="eastAsia"/>
                <w:bCs/>
                <w:sz w:val="24"/>
              </w:rPr>
              <w:t>。</w:t>
            </w:r>
          </w:p>
          <w:p>
            <w:pPr>
              <w:widowControl/>
              <w:spacing w:line="360" w:lineRule="auto"/>
              <w:jc w:val="left"/>
              <w:rPr>
                <w:sz w:val="24"/>
              </w:rPr>
            </w:pPr>
            <w:r>
              <w:rPr>
                <w:rFonts w:hint="eastAsia" w:ascii="宋体" w:hAnsi="宋体" w:cs="宋体"/>
                <w:b/>
                <w:bCs/>
                <w:color w:val="000000"/>
                <w:kern w:val="0"/>
                <w:sz w:val="24"/>
                <w:lang w:bidi="ar"/>
              </w:rPr>
              <w:t>7、项目使用的清洗剂、胶粘剂、涂料与《清洗剂挥发性有机化合物含量限值》（</w:t>
            </w:r>
            <w:r>
              <w:rPr>
                <w:rFonts w:ascii="宋体" w:hAnsi="宋体" w:cs="宋体"/>
                <w:b/>
                <w:bCs/>
                <w:color w:val="000000"/>
                <w:kern w:val="0"/>
                <w:sz w:val="24"/>
                <w:lang w:bidi="ar"/>
              </w:rPr>
              <w:t>GB 38508-2020</w:t>
            </w:r>
            <w:r>
              <w:rPr>
                <w:rFonts w:hint="eastAsia" w:ascii="宋体" w:hAnsi="宋体" w:cs="宋体"/>
                <w:b/>
                <w:bCs/>
                <w:color w:val="000000"/>
                <w:kern w:val="0"/>
                <w:sz w:val="24"/>
                <w:lang w:bidi="ar"/>
              </w:rPr>
              <w:t>）、《工业防护涂料中有害物质限量》（</w:t>
            </w:r>
            <w:r>
              <w:rPr>
                <w:b/>
                <w:bCs/>
                <w:color w:val="000000"/>
                <w:kern w:val="0"/>
                <w:sz w:val="24"/>
                <w:lang w:bidi="ar"/>
              </w:rPr>
              <w:t>GB30981-2020</w:t>
            </w:r>
            <w:r>
              <w:rPr>
                <w:rFonts w:hint="eastAsia" w:ascii="宋体" w:hAnsi="宋体" w:cs="宋体"/>
                <w:b/>
                <w:bCs/>
                <w:color w:val="000000"/>
                <w:kern w:val="0"/>
                <w:sz w:val="24"/>
                <w:lang w:bidi="ar"/>
              </w:rPr>
              <w:t>）和《胶粘剂挥发性有机物限制》（GB33372-2020）相符性分析</w:t>
            </w:r>
          </w:p>
          <w:p>
            <w:pPr>
              <w:widowControl/>
              <w:jc w:val="center"/>
              <w:rPr>
                <w:b/>
                <w:sz w:val="24"/>
              </w:rPr>
            </w:pPr>
            <w:r>
              <w:rPr>
                <w:b/>
                <w:sz w:val="24"/>
              </w:rPr>
              <w:t>表1-</w:t>
            </w:r>
            <w:r>
              <w:rPr>
                <w:rFonts w:hint="eastAsia"/>
                <w:b/>
                <w:sz w:val="24"/>
              </w:rPr>
              <w:t>8</w:t>
            </w:r>
            <w:r>
              <w:rPr>
                <w:b/>
                <w:sz w:val="24"/>
              </w:rPr>
              <w:t xml:space="preserve"> 本项目与清洗剂、胶粘剂、涂料相符性分析一览表</w:t>
            </w:r>
          </w:p>
          <w:tbl>
            <w:tblPr>
              <w:tblStyle w:val="20"/>
              <w:tblW w:w="4988" w:type="pct"/>
              <w:tblInd w:w="1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6"/>
              <w:gridCol w:w="1945"/>
              <w:gridCol w:w="1019"/>
              <w:gridCol w:w="3669"/>
              <w:gridCol w:w="742"/>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338" w:type="pct"/>
                  <w:tcBorders>
                    <w:bottom w:val="single" w:color="888E93" w:sz="8" w:space="0"/>
                    <w:right w:val="single" w:color="888E93" w:sz="8" w:space="0"/>
                  </w:tcBorders>
                  <w:shd w:val="clear" w:color="auto" w:fill="FFFFFF"/>
                  <w:vAlign w:val="center"/>
                </w:tcPr>
                <w:p>
                  <w:pPr>
                    <w:widowControl/>
                    <w:jc w:val="center"/>
                    <w:textAlignment w:val="center"/>
                    <w:rPr>
                      <w:b/>
                      <w:bCs/>
                      <w:color w:val="000000"/>
                      <w:szCs w:val="21"/>
                    </w:rPr>
                  </w:pPr>
                  <w:r>
                    <w:rPr>
                      <w:b/>
                      <w:bCs/>
                      <w:color w:val="000000"/>
                      <w:kern w:val="0"/>
                      <w:szCs w:val="21"/>
                      <w:lang w:bidi="ar"/>
                    </w:rPr>
                    <w:t>编号</w:t>
                  </w:r>
                </w:p>
              </w:tc>
              <w:tc>
                <w:tcPr>
                  <w:tcW w:w="1229" w:type="pct"/>
                  <w:tcBorders>
                    <w:left w:val="single" w:color="888E93" w:sz="8" w:space="0"/>
                    <w:bottom w:val="single" w:color="888E93" w:sz="8" w:space="0"/>
                    <w:right w:val="single" w:color="888E93" w:sz="8" w:space="0"/>
                  </w:tcBorders>
                  <w:shd w:val="clear" w:color="auto" w:fill="FFFFFF"/>
                  <w:vAlign w:val="center"/>
                </w:tcPr>
                <w:p>
                  <w:pPr>
                    <w:widowControl/>
                    <w:jc w:val="center"/>
                    <w:textAlignment w:val="center"/>
                    <w:rPr>
                      <w:b/>
                      <w:bCs/>
                      <w:color w:val="000000"/>
                      <w:szCs w:val="21"/>
                    </w:rPr>
                  </w:pPr>
                  <w:r>
                    <w:rPr>
                      <w:b/>
                      <w:bCs/>
                      <w:color w:val="000000"/>
                      <w:kern w:val="0"/>
                      <w:szCs w:val="21"/>
                      <w:lang w:bidi="ar"/>
                    </w:rPr>
                    <w:t>要求</w:t>
                  </w:r>
                </w:p>
              </w:tc>
              <w:tc>
                <w:tcPr>
                  <w:tcW w:w="644" w:type="pct"/>
                  <w:tcBorders>
                    <w:left w:val="single" w:color="888E93" w:sz="8" w:space="0"/>
                    <w:bottom w:val="single" w:color="888E93" w:sz="8" w:space="0"/>
                    <w:right w:val="single" w:color="888E93" w:sz="8" w:space="0"/>
                  </w:tcBorders>
                  <w:shd w:val="clear" w:color="auto" w:fill="FFFFFF"/>
                  <w:vAlign w:val="center"/>
                </w:tcPr>
                <w:p>
                  <w:pPr>
                    <w:widowControl/>
                    <w:jc w:val="center"/>
                    <w:textAlignment w:val="center"/>
                    <w:rPr>
                      <w:b/>
                      <w:bCs/>
                      <w:color w:val="000000"/>
                      <w:szCs w:val="21"/>
                    </w:rPr>
                  </w:pPr>
                  <w:r>
                    <w:rPr>
                      <w:b/>
                      <w:bCs/>
                      <w:color w:val="000000"/>
                      <w:kern w:val="0"/>
                      <w:szCs w:val="21"/>
                      <w:lang w:bidi="ar"/>
                    </w:rPr>
                    <w:t>物质</w:t>
                  </w:r>
                </w:p>
              </w:tc>
              <w:tc>
                <w:tcPr>
                  <w:tcW w:w="2318" w:type="pct"/>
                  <w:tcBorders>
                    <w:left w:val="single" w:color="888E93" w:sz="8" w:space="0"/>
                    <w:bottom w:val="single" w:color="888E93" w:sz="8" w:space="0"/>
                    <w:right w:val="single" w:color="888E93" w:sz="8" w:space="0"/>
                  </w:tcBorders>
                  <w:shd w:val="clear" w:color="auto" w:fill="FFFFFF"/>
                  <w:vAlign w:val="center"/>
                </w:tcPr>
                <w:p>
                  <w:pPr>
                    <w:widowControl/>
                    <w:jc w:val="center"/>
                    <w:textAlignment w:val="center"/>
                    <w:rPr>
                      <w:b/>
                      <w:bCs/>
                      <w:color w:val="000000"/>
                      <w:szCs w:val="21"/>
                    </w:rPr>
                  </w:pPr>
                  <w:r>
                    <w:rPr>
                      <w:b/>
                      <w:bCs/>
                      <w:color w:val="000000"/>
                      <w:kern w:val="0"/>
                      <w:szCs w:val="21"/>
                      <w:lang w:bidi="ar"/>
                    </w:rPr>
                    <w:t>本项目</w:t>
                  </w:r>
                </w:p>
              </w:tc>
              <w:tc>
                <w:tcPr>
                  <w:tcW w:w="469" w:type="pct"/>
                  <w:tcBorders>
                    <w:left w:val="single" w:color="888E93" w:sz="8" w:space="0"/>
                    <w:bottom w:val="single" w:color="888E93" w:sz="8" w:space="0"/>
                  </w:tcBorders>
                  <w:shd w:val="clear" w:color="auto" w:fill="FFFFFF"/>
                  <w:vAlign w:val="center"/>
                </w:tcPr>
                <w:p>
                  <w:pPr>
                    <w:widowControl/>
                    <w:jc w:val="center"/>
                    <w:textAlignment w:val="center"/>
                    <w:rPr>
                      <w:b/>
                      <w:bCs/>
                      <w:color w:val="000000"/>
                      <w:szCs w:val="21"/>
                    </w:rPr>
                  </w:pPr>
                  <w:r>
                    <w:rPr>
                      <w:b/>
                      <w:bCs/>
                      <w:color w:val="000000"/>
                      <w:kern w:val="0"/>
                      <w:szCs w:val="21"/>
                      <w:lang w:bidi="ar"/>
                    </w:rPr>
                    <w:t>相符性</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9" w:hRule="atLeast"/>
              </w:trPr>
              <w:tc>
                <w:tcPr>
                  <w:tcW w:w="338" w:type="pct"/>
                  <w:vMerge w:val="restart"/>
                  <w:tcBorders>
                    <w:top w:val="single" w:color="888E93" w:sz="8" w:space="0"/>
                    <w:bottom w:val="single" w:color="888E93" w:sz="8" w:space="0"/>
                    <w:right w:val="single" w:color="888E93" w:sz="8" w:space="0"/>
                  </w:tcBorders>
                  <w:shd w:val="clear" w:color="auto" w:fill="FFFFFF"/>
                  <w:vAlign w:val="center"/>
                </w:tcPr>
                <w:p>
                  <w:pPr>
                    <w:widowControl/>
                    <w:jc w:val="center"/>
                    <w:textAlignment w:val="center"/>
                    <w:rPr>
                      <w:color w:val="000000"/>
                      <w:szCs w:val="21"/>
                    </w:rPr>
                  </w:pPr>
                  <w:r>
                    <w:rPr>
                      <w:rFonts w:hint="eastAsia"/>
                      <w:color w:val="000000"/>
                      <w:kern w:val="0"/>
                      <w:szCs w:val="21"/>
                      <w:lang w:bidi="ar"/>
                    </w:rPr>
                    <w:t>1</w:t>
                  </w:r>
                </w:p>
              </w:tc>
              <w:tc>
                <w:tcPr>
                  <w:tcW w:w="1229"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szCs w:val="21"/>
                    </w:rPr>
                  </w:pPr>
                  <w:r>
                    <w:rPr>
                      <w:color w:val="000000"/>
                      <w:kern w:val="0"/>
                      <w:szCs w:val="21"/>
                      <w:lang w:bidi="ar"/>
                    </w:rPr>
                    <w:t>“GB30981-2020《工业防护涂料中有害物质限量》”-“表</w:t>
                  </w:r>
                  <w:r>
                    <w:rPr>
                      <w:rFonts w:hint="eastAsia"/>
                      <w:color w:val="000000"/>
                      <w:kern w:val="0"/>
                      <w:szCs w:val="21"/>
                      <w:lang w:val="en-US" w:eastAsia="zh-CN" w:bidi="ar"/>
                    </w:rPr>
                    <w:t>1水性</w:t>
                  </w:r>
                  <w:r>
                    <w:rPr>
                      <w:color w:val="000000"/>
                      <w:kern w:val="0"/>
                      <w:szCs w:val="21"/>
                      <w:lang w:bidi="ar"/>
                    </w:rPr>
                    <w:t>涂料中VOC含量的限量值要求”中“电子电器涂料”清漆≤</w:t>
                  </w:r>
                  <w:r>
                    <w:rPr>
                      <w:rFonts w:hint="eastAsia"/>
                      <w:color w:val="000000"/>
                      <w:kern w:val="0"/>
                      <w:szCs w:val="21"/>
                      <w:lang w:val="en-US" w:eastAsia="zh-CN" w:bidi="ar"/>
                    </w:rPr>
                    <w:t>420</w:t>
                  </w:r>
                  <w:r>
                    <w:rPr>
                      <w:color w:val="000000"/>
                      <w:kern w:val="0"/>
                      <w:szCs w:val="21"/>
                      <w:lang w:bidi="ar"/>
                    </w:rPr>
                    <w:t>g/L”</w:t>
                  </w:r>
                </w:p>
              </w:tc>
              <w:tc>
                <w:tcPr>
                  <w:tcW w:w="644"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kern w:val="0"/>
                      <w:szCs w:val="21"/>
                      <w:lang w:bidi="ar"/>
                    </w:rPr>
                  </w:pPr>
                  <w:r>
                    <w:rPr>
                      <w:rFonts w:hint="eastAsia"/>
                      <w:color w:val="000000"/>
                      <w:kern w:val="0"/>
                      <w:szCs w:val="21"/>
                      <w:lang w:bidi="ar"/>
                    </w:rPr>
                    <w:t>三防漆</w:t>
                  </w:r>
                </w:p>
                <w:p>
                  <w:pPr>
                    <w:widowControl/>
                    <w:jc w:val="center"/>
                    <w:textAlignment w:val="center"/>
                    <w:rPr>
                      <w:color w:val="000000"/>
                      <w:szCs w:val="21"/>
                    </w:rPr>
                  </w:pPr>
                  <w:r>
                    <w:rPr>
                      <w:color w:val="000000"/>
                      <w:kern w:val="0"/>
                      <w:szCs w:val="21"/>
                      <w:lang w:bidi="ar"/>
                    </w:rPr>
                    <w:t>（漆）</w:t>
                  </w:r>
                </w:p>
              </w:tc>
              <w:tc>
                <w:tcPr>
                  <w:tcW w:w="2318"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kern w:val="0"/>
                      <w:szCs w:val="21"/>
                      <w:lang w:bidi="ar"/>
                    </w:rPr>
                  </w:pPr>
                  <w:r>
                    <w:rPr>
                      <w:color w:val="000000"/>
                      <w:kern w:val="0"/>
                      <w:szCs w:val="21"/>
                      <w:lang w:bidi="ar"/>
                    </w:rPr>
                    <w:t>根据测试报告：</w:t>
                  </w:r>
                  <w:r>
                    <w:rPr>
                      <w:rFonts w:hint="eastAsia"/>
                      <w:color w:val="000000"/>
                      <w:kern w:val="0"/>
                      <w:szCs w:val="21"/>
                      <w:lang w:bidi="ar"/>
                    </w:rPr>
                    <w:t>三防漆</w:t>
                  </w:r>
                  <w:r>
                    <w:rPr>
                      <w:color w:val="000000"/>
                      <w:kern w:val="0"/>
                      <w:szCs w:val="21"/>
                      <w:lang w:bidi="ar"/>
                    </w:rPr>
                    <w:t>（漆）有机化</w:t>
                  </w:r>
                </w:p>
                <w:p>
                  <w:pPr>
                    <w:widowControl/>
                    <w:jc w:val="center"/>
                    <w:textAlignment w:val="center"/>
                    <w:rPr>
                      <w:color w:val="000000"/>
                      <w:szCs w:val="21"/>
                    </w:rPr>
                  </w:pPr>
                  <w:r>
                    <w:rPr>
                      <w:color w:val="000000"/>
                      <w:kern w:val="0"/>
                      <w:szCs w:val="21"/>
                      <w:lang w:bidi="ar"/>
                    </w:rPr>
                    <w:t>合物（VOC）：</w:t>
                  </w:r>
                  <w:r>
                    <w:rPr>
                      <w:rFonts w:hint="eastAsia"/>
                      <w:color w:val="000000"/>
                      <w:kern w:val="0"/>
                      <w:szCs w:val="21"/>
                      <w:lang w:val="en-US" w:eastAsia="zh-CN" w:bidi="ar"/>
                    </w:rPr>
                    <w:t>109</w:t>
                  </w:r>
                  <w:r>
                    <w:rPr>
                      <w:color w:val="000000"/>
                      <w:kern w:val="0"/>
                      <w:szCs w:val="21"/>
                      <w:lang w:bidi="ar"/>
                    </w:rPr>
                    <w:t>g/L≤</w:t>
                  </w:r>
                  <w:r>
                    <w:rPr>
                      <w:rFonts w:hint="eastAsia"/>
                      <w:color w:val="000000"/>
                      <w:kern w:val="0"/>
                      <w:szCs w:val="21"/>
                      <w:lang w:val="en-US" w:eastAsia="zh-CN" w:bidi="ar"/>
                    </w:rPr>
                    <w:t>420</w:t>
                  </w:r>
                  <w:r>
                    <w:rPr>
                      <w:color w:val="000000"/>
                      <w:kern w:val="0"/>
                      <w:szCs w:val="21"/>
                      <w:lang w:bidi="ar"/>
                    </w:rPr>
                    <w:t>g/L</w:t>
                  </w:r>
                </w:p>
              </w:tc>
              <w:tc>
                <w:tcPr>
                  <w:tcW w:w="469" w:type="pct"/>
                  <w:tcBorders>
                    <w:top w:val="single" w:color="888E93" w:sz="8" w:space="0"/>
                    <w:left w:val="single" w:color="888E93" w:sz="8" w:space="0"/>
                    <w:bottom w:val="single" w:color="888E93" w:sz="8" w:space="0"/>
                  </w:tcBorders>
                  <w:shd w:val="clear" w:color="auto" w:fill="FFFFFF"/>
                  <w:vAlign w:val="center"/>
                </w:tcPr>
                <w:p>
                  <w:pPr>
                    <w:widowControl/>
                    <w:jc w:val="center"/>
                    <w:textAlignment w:val="center"/>
                    <w:rPr>
                      <w:color w:val="000000"/>
                      <w:szCs w:val="21"/>
                    </w:rPr>
                  </w:pPr>
                  <w:r>
                    <w:rPr>
                      <w:color w:val="000000"/>
                      <w:kern w:val="0"/>
                      <w:szCs w:val="21"/>
                      <w:lang w:bidi="ar"/>
                    </w:rPr>
                    <w:t>符合溶剂型电</w:t>
                  </w:r>
                </w:p>
                <w:p>
                  <w:pPr>
                    <w:widowControl/>
                    <w:jc w:val="center"/>
                    <w:textAlignment w:val="center"/>
                    <w:rPr>
                      <w:color w:val="000000"/>
                      <w:szCs w:val="21"/>
                    </w:rPr>
                  </w:pPr>
                  <w:r>
                    <w:rPr>
                      <w:color w:val="000000"/>
                      <w:kern w:val="0"/>
                      <w:szCs w:val="21"/>
                      <w:lang w:bidi="ar"/>
                    </w:rPr>
                    <w:t>子电器涂料</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6" w:hRule="atLeast"/>
              </w:trPr>
              <w:tc>
                <w:tcPr>
                  <w:tcW w:w="338" w:type="pct"/>
                  <w:tcBorders>
                    <w:top w:val="single" w:color="888E93" w:sz="8" w:space="0"/>
                    <w:bottom w:val="single" w:color="888E93" w:sz="8" w:space="0"/>
                    <w:right w:val="single" w:color="888E93" w:sz="8" w:space="0"/>
                  </w:tcBorders>
                  <w:shd w:val="clear" w:color="auto" w:fill="FFFFFF"/>
                  <w:vAlign w:val="center"/>
                </w:tcPr>
                <w:p>
                  <w:pPr>
                    <w:widowControl/>
                    <w:jc w:val="center"/>
                    <w:textAlignment w:val="center"/>
                    <w:rPr>
                      <w:color w:val="000000"/>
                      <w:szCs w:val="21"/>
                    </w:rPr>
                  </w:pPr>
                  <w:r>
                    <w:rPr>
                      <w:rFonts w:hint="eastAsia"/>
                      <w:color w:val="000000"/>
                      <w:kern w:val="0"/>
                      <w:szCs w:val="21"/>
                      <w:lang w:bidi="ar"/>
                    </w:rPr>
                    <w:t>2</w:t>
                  </w:r>
                </w:p>
              </w:tc>
              <w:tc>
                <w:tcPr>
                  <w:tcW w:w="1229"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szCs w:val="21"/>
                    </w:rPr>
                  </w:pPr>
                  <w:r>
                    <w:rPr>
                      <w:color w:val="000000"/>
                      <w:kern w:val="0"/>
                      <w:szCs w:val="21"/>
                      <w:lang w:bidi="ar"/>
                    </w:rPr>
                    <w:t>“GB38508-2020《清洗剂挥发性有机化合物含量值》”-“表1清洗剂VOC含量及特定挥发性有机物限值要求”半水基清洗剂要求：VOC含量≤300g/L</w:t>
                  </w:r>
                </w:p>
              </w:tc>
              <w:tc>
                <w:tcPr>
                  <w:tcW w:w="644"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rFonts w:hint="default" w:eastAsia="宋体"/>
                      <w:color w:val="000000"/>
                      <w:szCs w:val="21"/>
                      <w:lang w:val="en-US" w:eastAsia="zh-CN"/>
                    </w:rPr>
                  </w:pPr>
                  <w:r>
                    <w:rPr>
                      <w:rFonts w:hint="eastAsia"/>
                      <w:color w:val="000000"/>
                      <w:szCs w:val="21"/>
                      <w:lang w:val="en-US" w:eastAsia="zh-CN"/>
                    </w:rPr>
                    <w:t>网版清洗剂</w:t>
                  </w:r>
                </w:p>
              </w:tc>
              <w:tc>
                <w:tcPr>
                  <w:tcW w:w="2318"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szCs w:val="21"/>
                    </w:rPr>
                  </w:pPr>
                  <w:r>
                    <w:rPr>
                      <w:color w:val="000000"/>
                      <w:kern w:val="0"/>
                      <w:szCs w:val="21"/>
                      <w:lang w:bidi="ar"/>
                    </w:rPr>
                    <w:t>根据测试报告：</w:t>
                  </w:r>
                  <w:r>
                    <w:rPr>
                      <w:rFonts w:hint="eastAsia"/>
                      <w:color w:val="000000"/>
                      <w:kern w:val="0"/>
                      <w:szCs w:val="21"/>
                      <w:lang w:val="en-US" w:eastAsia="zh-CN" w:bidi="ar"/>
                    </w:rPr>
                    <w:t>网版</w:t>
                  </w:r>
                  <w:r>
                    <w:rPr>
                      <w:color w:val="000000"/>
                      <w:kern w:val="0"/>
                      <w:szCs w:val="21"/>
                      <w:lang w:bidi="ar"/>
                    </w:rPr>
                    <w:t>清洗剂有机化合物（VOC）：2</w:t>
                  </w:r>
                  <w:r>
                    <w:rPr>
                      <w:rFonts w:hint="eastAsia"/>
                      <w:color w:val="000000"/>
                      <w:kern w:val="0"/>
                      <w:szCs w:val="21"/>
                      <w:lang w:val="en-US" w:eastAsia="zh-CN" w:bidi="ar"/>
                    </w:rPr>
                    <w:t>60</w:t>
                  </w:r>
                  <w:r>
                    <w:rPr>
                      <w:color w:val="000000"/>
                      <w:kern w:val="0"/>
                      <w:szCs w:val="21"/>
                      <w:lang w:bidi="ar"/>
                    </w:rPr>
                    <w:t>g/L≤300g/L；</w:t>
                  </w:r>
                </w:p>
              </w:tc>
              <w:tc>
                <w:tcPr>
                  <w:tcW w:w="469" w:type="pct"/>
                  <w:tcBorders>
                    <w:top w:val="single" w:color="888E93" w:sz="8" w:space="0"/>
                    <w:left w:val="single" w:color="888E93" w:sz="8" w:space="0"/>
                    <w:bottom w:val="single" w:color="888E93" w:sz="8" w:space="0"/>
                  </w:tcBorders>
                  <w:shd w:val="clear" w:color="auto" w:fill="FFFFFF"/>
                  <w:vAlign w:val="center"/>
                </w:tcPr>
                <w:p>
                  <w:pPr>
                    <w:widowControl/>
                    <w:jc w:val="center"/>
                    <w:textAlignment w:val="center"/>
                    <w:rPr>
                      <w:color w:val="000000"/>
                      <w:szCs w:val="21"/>
                    </w:rPr>
                  </w:pPr>
                  <w:r>
                    <w:rPr>
                      <w:color w:val="000000"/>
                      <w:kern w:val="0"/>
                      <w:szCs w:val="21"/>
                      <w:lang w:bidi="ar"/>
                    </w:rPr>
                    <w:t>符合低挥发性</w:t>
                  </w:r>
                </w:p>
                <w:p>
                  <w:pPr>
                    <w:widowControl/>
                    <w:jc w:val="center"/>
                    <w:textAlignment w:val="center"/>
                    <w:rPr>
                      <w:color w:val="000000"/>
                      <w:szCs w:val="21"/>
                    </w:rPr>
                  </w:pPr>
                  <w:r>
                    <w:rPr>
                      <w:color w:val="000000"/>
                      <w:kern w:val="0"/>
                      <w:szCs w:val="21"/>
                      <w:lang w:bidi="ar"/>
                    </w:rPr>
                    <w:t>半水基清洗剂</w:t>
                  </w:r>
                </w:p>
                <w:p>
                  <w:pPr>
                    <w:widowControl/>
                    <w:jc w:val="center"/>
                    <w:textAlignment w:val="center"/>
                    <w:rPr>
                      <w:color w:val="000000"/>
                      <w:szCs w:val="21"/>
                    </w:rPr>
                  </w:pPr>
                  <w:r>
                    <w:rPr>
                      <w:color w:val="000000"/>
                      <w:kern w:val="0"/>
                      <w:szCs w:val="21"/>
                      <w:lang w:bidi="ar"/>
                    </w:rPr>
                    <w:t>要求</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6" w:hRule="atLeast"/>
              </w:trPr>
              <w:tc>
                <w:tcPr>
                  <w:tcW w:w="338" w:type="pct"/>
                  <w:tcBorders>
                    <w:top w:val="single" w:color="888E93" w:sz="8" w:space="0"/>
                    <w:bottom w:val="single" w:color="888E93" w:sz="8" w:space="0"/>
                    <w:right w:val="single" w:color="888E93" w:sz="8" w:space="0"/>
                  </w:tcBorders>
                  <w:shd w:val="clear" w:color="auto" w:fill="FFFFFF"/>
                  <w:vAlign w:val="center"/>
                </w:tcPr>
                <w:p>
                  <w:pPr>
                    <w:widowControl/>
                    <w:jc w:val="center"/>
                    <w:textAlignment w:val="center"/>
                    <w:rPr>
                      <w:rFonts w:hint="eastAsia" w:eastAsia="宋体"/>
                      <w:color w:val="000000"/>
                      <w:kern w:val="0"/>
                      <w:szCs w:val="21"/>
                      <w:lang w:val="en-US" w:eastAsia="zh-CN" w:bidi="ar"/>
                    </w:rPr>
                  </w:pPr>
                  <w:r>
                    <w:rPr>
                      <w:rFonts w:hint="eastAsia"/>
                      <w:color w:val="000000"/>
                      <w:kern w:val="0"/>
                      <w:szCs w:val="21"/>
                      <w:lang w:val="en-US" w:eastAsia="zh-CN" w:bidi="ar"/>
                    </w:rPr>
                    <w:t>3</w:t>
                  </w:r>
                </w:p>
              </w:tc>
              <w:tc>
                <w:tcPr>
                  <w:tcW w:w="1229"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kern w:val="0"/>
                      <w:szCs w:val="21"/>
                      <w:lang w:bidi="ar"/>
                    </w:rPr>
                  </w:pPr>
                  <w:r>
                    <w:rPr>
                      <w:color w:val="000000"/>
                      <w:kern w:val="0"/>
                      <w:szCs w:val="21"/>
                      <w:lang w:bidi="ar"/>
                    </w:rPr>
                    <w:t>“GB38508-2020《清洗剂挥发性有机化合物含量值》”-“表1清洗剂VOC含量及特定挥发性有机物限值要求”水基清洗剂要求：VOC含量≤</w:t>
                  </w:r>
                  <w:r>
                    <w:rPr>
                      <w:rFonts w:hint="eastAsia"/>
                      <w:color w:val="000000"/>
                      <w:kern w:val="0"/>
                      <w:szCs w:val="21"/>
                      <w:lang w:val="en-US" w:eastAsia="zh-CN" w:bidi="ar"/>
                    </w:rPr>
                    <w:t>50</w:t>
                  </w:r>
                  <w:r>
                    <w:rPr>
                      <w:color w:val="000000"/>
                      <w:kern w:val="0"/>
                      <w:szCs w:val="21"/>
                      <w:lang w:bidi="ar"/>
                    </w:rPr>
                    <w:t>g/L</w:t>
                  </w:r>
                </w:p>
              </w:tc>
              <w:tc>
                <w:tcPr>
                  <w:tcW w:w="644"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rFonts w:hint="default"/>
                      <w:color w:val="000000"/>
                      <w:szCs w:val="21"/>
                      <w:lang w:val="en-US" w:eastAsia="zh-CN"/>
                    </w:rPr>
                  </w:pPr>
                  <w:r>
                    <w:rPr>
                      <w:rFonts w:hint="eastAsia"/>
                      <w:color w:val="000000"/>
                      <w:szCs w:val="21"/>
                      <w:lang w:val="en-US" w:eastAsia="zh-CN"/>
                    </w:rPr>
                    <w:t>三防漆清洗剂</w:t>
                  </w:r>
                </w:p>
              </w:tc>
              <w:tc>
                <w:tcPr>
                  <w:tcW w:w="2318"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kern w:val="0"/>
                      <w:szCs w:val="21"/>
                      <w:lang w:bidi="ar"/>
                    </w:rPr>
                  </w:pPr>
                  <w:r>
                    <w:rPr>
                      <w:color w:val="000000"/>
                      <w:kern w:val="0"/>
                      <w:szCs w:val="21"/>
                      <w:lang w:bidi="ar"/>
                    </w:rPr>
                    <w:t>根据测试报告：</w:t>
                  </w:r>
                  <w:r>
                    <w:rPr>
                      <w:rFonts w:hint="eastAsia"/>
                      <w:color w:val="000000"/>
                      <w:kern w:val="0"/>
                      <w:szCs w:val="21"/>
                      <w:lang w:val="en-US" w:eastAsia="zh-CN" w:bidi="ar"/>
                    </w:rPr>
                    <w:t>三防漆</w:t>
                  </w:r>
                  <w:r>
                    <w:rPr>
                      <w:color w:val="000000"/>
                      <w:kern w:val="0"/>
                      <w:szCs w:val="21"/>
                      <w:lang w:bidi="ar"/>
                    </w:rPr>
                    <w:t>清洗剂有机化合物（VOC）：</w:t>
                  </w:r>
                  <w:r>
                    <w:rPr>
                      <w:rFonts w:hint="eastAsia"/>
                      <w:color w:val="000000"/>
                      <w:kern w:val="0"/>
                      <w:szCs w:val="21"/>
                      <w:lang w:val="en-US" w:eastAsia="zh-CN" w:bidi="ar"/>
                    </w:rPr>
                    <w:t>33</w:t>
                  </w:r>
                  <w:r>
                    <w:rPr>
                      <w:color w:val="000000"/>
                      <w:kern w:val="0"/>
                      <w:szCs w:val="21"/>
                      <w:lang w:bidi="ar"/>
                    </w:rPr>
                    <w:t>g/L≤</w:t>
                  </w:r>
                  <w:r>
                    <w:rPr>
                      <w:rFonts w:hint="eastAsia"/>
                      <w:color w:val="000000"/>
                      <w:kern w:val="0"/>
                      <w:szCs w:val="21"/>
                      <w:lang w:val="en-US" w:eastAsia="zh-CN" w:bidi="ar"/>
                    </w:rPr>
                    <w:t>50</w:t>
                  </w:r>
                  <w:r>
                    <w:rPr>
                      <w:color w:val="000000"/>
                      <w:kern w:val="0"/>
                      <w:szCs w:val="21"/>
                      <w:lang w:bidi="ar"/>
                    </w:rPr>
                    <w:t>g/L；</w:t>
                  </w:r>
                </w:p>
              </w:tc>
              <w:tc>
                <w:tcPr>
                  <w:tcW w:w="469" w:type="pct"/>
                  <w:tcBorders>
                    <w:top w:val="single" w:color="888E93" w:sz="8" w:space="0"/>
                    <w:left w:val="single" w:color="888E93" w:sz="8" w:space="0"/>
                    <w:bottom w:val="single" w:color="888E93" w:sz="8" w:space="0"/>
                  </w:tcBorders>
                  <w:shd w:val="clear" w:color="auto" w:fill="FFFFFF"/>
                  <w:vAlign w:val="center"/>
                </w:tcPr>
                <w:p>
                  <w:pPr>
                    <w:widowControl/>
                    <w:jc w:val="center"/>
                    <w:textAlignment w:val="center"/>
                    <w:rPr>
                      <w:color w:val="000000"/>
                      <w:kern w:val="0"/>
                      <w:szCs w:val="21"/>
                      <w:lang w:bidi="ar"/>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0" w:hRule="atLeast"/>
              </w:trPr>
              <w:tc>
                <w:tcPr>
                  <w:tcW w:w="338" w:type="pct"/>
                  <w:tcBorders>
                    <w:top w:val="single" w:color="888E93" w:sz="8" w:space="0"/>
                    <w:bottom w:val="single" w:color="auto" w:sz="12" w:space="0"/>
                    <w:right w:val="single" w:color="888E93" w:sz="8" w:space="0"/>
                  </w:tcBorders>
                  <w:shd w:val="clear" w:color="auto" w:fill="FFFFFF"/>
                  <w:vAlign w:val="center"/>
                </w:tcPr>
                <w:p>
                  <w:pPr>
                    <w:widowControl/>
                    <w:jc w:val="center"/>
                    <w:textAlignment w:val="center"/>
                    <w:rPr>
                      <w:rFonts w:hint="eastAsia" w:eastAsia="宋体"/>
                      <w:color w:val="000000"/>
                      <w:kern w:val="0"/>
                      <w:szCs w:val="21"/>
                      <w:lang w:eastAsia="zh-CN" w:bidi="ar"/>
                    </w:rPr>
                  </w:pPr>
                  <w:r>
                    <w:rPr>
                      <w:rFonts w:hint="eastAsia"/>
                      <w:color w:val="000000"/>
                      <w:kern w:val="0"/>
                      <w:szCs w:val="21"/>
                      <w:lang w:val="en-US" w:eastAsia="zh-CN" w:bidi="ar"/>
                    </w:rPr>
                    <w:t>4</w:t>
                  </w:r>
                </w:p>
              </w:tc>
              <w:tc>
                <w:tcPr>
                  <w:tcW w:w="1229"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kern w:val="0"/>
                      <w:szCs w:val="21"/>
                      <w:lang w:bidi="ar"/>
                    </w:rPr>
                  </w:pPr>
                  <w:r>
                    <w:rPr>
                      <w:rFonts w:hint="eastAsia"/>
                      <w:color w:val="000000"/>
                      <w:kern w:val="0"/>
                      <w:szCs w:val="21"/>
                      <w:lang w:bidi="ar"/>
                    </w:rPr>
                    <w:t>《胶粘剂挥发性有机物限制》（GB33372-2020）表</w:t>
                  </w:r>
                  <w:r>
                    <w:rPr>
                      <w:color w:val="000000"/>
                      <w:kern w:val="0"/>
                      <w:szCs w:val="21"/>
                      <w:lang w:bidi="ar"/>
                    </w:rPr>
                    <w:t>3</w:t>
                  </w:r>
                  <w:r>
                    <w:rPr>
                      <w:rFonts w:hint="eastAsia"/>
                      <w:color w:val="000000"/>
                      <w:kern w:val="0"/>
                      <w:szCs w:val="21"/>
                      <w:lang w:bidi="ar"/>
                    </w:rPr>
                    <w:t>本体型胶粘剂</w:t>
                  </w:r>
                  <w:r>
                    <w:rPr>
                      <w:color w:val="000000"/>
                      <w:kern w:val="0"/>
                      <w:szCs w:val="21"/>
                      <w:lang w:bidi="ar"/>
                    </w:rPr>
                    <w:t>VOC</w:t>
                  </w:r>
                  <w:r>
                    <w:rPr>
                      <w:rFonts w:hint="eastAsia"/>
                      <w:color w:val="000000"/>
                      <w:kern w:val="0"/>
                      <w:szCs w:val="21"/>
                      <w:lang w:bidi="ar"/>
                    </w:rPr>
                    <w:t>含量限量</w:t>
                  </w:r>
                  <w:r>
                    <w:rPr>
                      <w:color w:val="000000"/>
                      <w:kern w:val="0"/>
                      <w:szCs w:val="21"/>
                      <w:lang w:bidi="ar"/>
                    </w:rPr>
                    <w:t>”</w:t>
                  </w:r>
                </w:p>
                <w:p>
                  <w:pPr>
                    <w:widowControl/>
                    <w:textAlignment w:val="center"/>
                    <w:rPr>
                      <w:color w:val="000000"/>
                      <w:kern w:val="0"/>
                      <w:szCs w:val="21"/>
                      <w:lang w:bidi="ar"/>
                    </w:rPr>
                  </w:pPr>
                  <w:r>
                    <w:rPr>
                      <w:rFonts w:hint="eastAsia"/>
                      <w:color w:val="000000"/>
                      <w:kern w:val="0"/>
                      <w:szCs w:val="21"/>
                      <w:lang w:bidi="ar"/>
                    </w:rPr>
                    <w:t>中</w:t>
                  </w:r>
                  <w:r>
                    <w:rPr>
                      <w:color w:val="000000"/>
                      <w:kern w:val="0"/>
                      <w:szCs w:val="21"/>
                      <w:lang w:bidi="ar"/>
                    </w:rPr>
                    <w:t>“</w:t>
                  </w:r>
                  <w:r>
                    <w:rPr>
                      <w:rFonts w:hint="eastAsia"/>
                      <w:color w:val="000000"/>
                      <w:kern w:val="0"/>
                      <w:szCs w:val="21"/>
                      <w:lang w:bidi="ar"/>
                    </w:rPr>
                    <w:t>有机硅类</w:t>
                  </w:r>
                  <w:r>
                    <w:rPr>
                      <w:color w:val="000000"/>
                      <w:kern w:val="0"/>
                      <w:szCs w:val="21"/>
                      <w:lang w:bidi="ar"/>
                    </w:rPr>
                    <w:t>”</w:t>
                  </w:r>
                  <w:r>
                    <w:rPr>
                      <w:rFonts w:hint="eastAsia"/>
                      <w:color w:val="000000"/>
                      <w:kern w:val="0"/>
                      <w:szCs w:val="21"/>
                      <w:lang w:bidi="ar"/>
                    </w:rPr>
                    <w:t>其他</w:t>
                  </w:r>
                  <w:r>
                    <w:rPr>
                      <w:color w:val="000000"/>
                      <w:kern w:val="0"/>
                      <w:szCs w:val="21"/>
                      <w:lang w:bidi="ar"/>
                    </w:rPr>
                    <w:t>≤100g/kg”</w:t>
                  </w:r>
                </w:p>
              </w:tc>
              <w:tc>
                <w:tcPr>
                  <w:tcW w:w="644"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kern w:val="0"/>
                      <w:szCs w:val="21"/>
                      <w:lang w:bidi="ar"/>
                    </w:rPr>
                  </w:pPr>
                  <w:r>
                    <w:rPr>
                      <w:rFonts w:hint="eastAsia"/>
                      <w:color w:val="000000"/>
                      <w:kern w:val="0"/>
                      <w:szCs w:val="21"/>
                      <w:lang w:bidi="ar"/>
                    </w:rPr>
                    <w:t>白胶</w:t>
                  </w:r>
                </w:p>
              </w:tc>
              <w:tc>
                <w:tcPr>
                  <w:tcW w:w="2318" w:type="pct"/>
                  <w:tcBorders>
                    <w:top w:val="single" w:color="888E93" w:sz="8" w:space="0"/>
                    <w:left w:val="single" w:color="888E93" w:sz="8" w:space="0"/>
                    <w:right w:val="single" w:color="888E93" w:sz="8" w:space="0"/>
                  </w:tcBorders>
                  <w:shd w:val="clear" w:color="auto" w:fill="FFFFFF"/>
                  <w:vAlign w:val="center"/>
                </w:tcPr>
                <w:p>
                  <w:pPr>
                    <w:widowControl/>
                    <w:jc w:val="center"/>
                    <w:textAlignment w:val="center"/>
                    <w:rPr>
                      <w:color w:val="000000"/>
                      <w:kern w:val="0"/>
                      <w:szCs w:val="21"/>
                      <w:lang w:bidi="ar"/>
                    </w:rPr>
                  </w:pPr>
                  <w:r>
                    <w:rPr>
                      <w:rFonts w:hint="eastAsia"/>
                      <w:color w:val="000000"/>
                      <w:kern w:val="0"/>
                      <w:szCs w:val="21"/>
                      <w:lang w:bidi="ar"/>
                    </w:rPr>
                    <w:t>根据测试报告：白胶中</w:t>
                  </w:r>
                  <w:r>
                    <w:rPr>
                      <w:color w:val="000000"/>
                      <w:kern w:val="0"/>
                      <w:szCs w:val="21"/>
                      <w:lang w:bidi="ar"/>
                    </w:rPr>
                    <w:t>有机化合物（VOC）：</w:t>
                  </w:r>
                  <w:r>
                    <w:rPr>
                      <w:rFonts w:hint="eastAsia"/>
                      <w:color w:val="000000"/>
                      <w:kern w:val="0"/>
                      <w:szCs w:val="21"/>
                      <w:lang w:bidi="ar"/>
                    </w:rPr>
                    <w:t>28</w:t>
                  </w:r>
                  <w:r>
                    <w:rPr>
                      <w:color w:val="000000"/>
                      <w:kern w:val="0"/>
                      <w:szCs w:val="21"/>
                      <w:lang w:bidi="ar"/>
                    </w:rPr>
                    <w:t>g/L≤</w:t>
                  </w:r>
                  <w:r>
                    <w:rPr>
                      <w:rFonts w:hint="eastAsia"/>
                      <w:color w:val="000000"/>
                      <w:kern w:val="0"/>
                      <w:szCs w:val="21"/>
                      <w:lang w:bidi="ar"/>
                    </w:rPr>
                    <w:t>1</w:t>
                  </w:r>
                  <w:r>
                    <w:rPr>
                      <w:color w:val="000000"/>
                      <w:kern w:val="0"/>
                      <w:szCs w:val="21"/>
                      <w:lang w:bidi="ar"/>
                    </w:rPr>
                    <w:t>00g/L</w:t>
                  </w:r>
                </w:p>
              </w:tc>
              <w:tc>
                <w:tcPr>
                  <w:tcW w:w="469" w:type="pct"/>
                  <w:tcBorders>
                    <w:top w:val="single" w:color="888E93" w:sz="8" w:space="0"/>
                    <w:left w:val="single" w:color="888E93" w:sz="8" w:space="0"/>
                    <w:bottom w:val="single" w:color="auto" w:sz="12" w:space="0"/>
                  </w:tcBorders>
                  <w:shd w:val="clear" w:color="auto" w:fill="FFFFFF"/>
                  <w:vAlign w:val="center"/>
                </w:tcPr>
                <w:p>
                  <w:pPr>
                    <w:widowControl/>
                    <w:jc w:val="center"/>
                    <w:textAlignment w:val="center"/>
                    <w:rPr>
                      <w:color w:val="000000"/>
                      <w:kern w:val="0"/>
                      <w:szCs w:val="21"/>
                      <w:lang w:bidi="ar"/>
                    </w:rPr>
                  </w:pPr>
                  <w:r>
                    <w:rPr>
                      <w:rFonts w:hint="eastAsia"/>
                      <w:color w:val="000000"/>
                      <w:kern w:val="0"/>
                      <w:szCs w:val="21"/>
                      <w:lang w:bidi="ar"/>
                    </w:rPr>
                    <w:t>符合低挥发性本体型</w:t>
                  </w:r>
                </w:p>
              </w:tc>
            </w:tr>
          </w:tbl>
          <w:p>
            <w:pPr>
              <w:widowControl/>
              <w:spacing w:line="360" w:lineRule="auto"/>
              <w:jc w:val="left"/>
              <w:rPr>
                <w:rFonts w:ascii="宋体" w:hAnsi="宋体" w:cs="宋体"/>
                <w:b/>
                <w:bCs/>
                <w:color w:val="000000"/>
                <w:kern w:val="0"/>
                <w:sz w:val="24"/>
                <w:lang w:bidi="ar"/>
              </w:rPr>
            </w:pPr>
          </w:p>
          <w:p>
            <w:pPr>
              <w:widowControl/>
              <w:spacing w:line="360" w:lineRule="auto"/>
              <w:jc w:val="left"/>
              <w:rPr>
                <w:rFonts w:ascii="宋体" w:hAnsi="宋体" w:cs="宋体"/>
                <w:b/>
                <w:bCs/>
                <w:color w:val="000000"/>
                <w:kern w:val="0"/>
                <w:sz w:val="24"/>
                <w:lang w:bidi="ar"/>
              </w:rPr>
            </w:pPr>
            <w:r>
              <w:rPr>
                <w:rFonts w:hint="eastAsia" w:ascii="宋体" w:hAnsi="宋体" w:cs="宋体"/>
                <w:b/>
                <w:bCs/>
                <w:color w:val="000000"/>
                <w:kern w:val="0"/>
                <w:sz w:val="24"/>
                <w:lang w:bidi="ar"/>
              </w:rPr>
              <w:t>8、与《吸附法工业有机废气治理工程技术规范》（HJ2026-2013）相符性分析</w:t>
            </w:r>
          </w:p>
          <w:p>
            <w:pPr>
              <w:spacing w:line="360" w:lineRule="auto"/>
              <w:ind w:firstLine="480" w:firstLineChars="200"/>
              <w:jc w:val="left"/>
              <w:rPr>
                <w:b/>
                <w:bCs/>
                <w:color w:val="000000"/>
                <w:sz w:val="24"/>
              </w:rPr>
            </w:pPr>
            <w:r>
              <w:rPr>
                <w:color w:val="000000"/>
                <w:sz w:val="24"/>
              </w:rPr>
              <w:t>根据《吸附法工业有机废气治理工程技术规范》（HJ2026-2013）</w:t>
            </w:r>
            <w:r>
              <w:rPr>
                <w:rFonts w:hint="eastAsia"/>
                <w:color w:val="000000"/>
                <w:sz w:val="24"/>
              </w:rPr>
              <w:t>，</w:t>
            </w:r>
            <w:r>
              <w:rPr>
                <w:color w:val="000000"/>
                <w:sz w:val="24"/>
              </w:rPr>
              <w:t>并结合本项目废气产生实际情况，企业应满足的要求及实施情况如下：</w:t>
            </w:r>
          </w:p>
          <w:p>
            <w:pPr>
              <w:widowControl/>
              <w:jc w:val="center"/>
              <w:rPr>
                <w:b/>
                <w:sz w:val="24"/>
              </w:rPr>
            </w:pPr>
            <w:r>
              <w:rPr>
                <w:b/>
                <w:sz w:val="24"/>
              </w:rPr>
              <w:t>表</w:t>
            </w:r>
            <w:r>
              <w:rPr>
                <w:rFonts w:hint="eastAsia"/>
                <w:b/>
                <w:sz w:val="24"/>
              </w:rPr>
              <w:t>1</w:t>
            </w:r>
            <w:r>
              <w:rPr>
                <w:b/>
                <w:sz w:val="24"/>
              </w:rPr>
              <w:t>-</w:t>
            </w:r>
            <w:r>
              <w:rPr>
                <w:rFonts w:hint="eastAsia"/>
                <w:b/>
                <w:sz w:val="24"/>
              </w:rPr>
              <w:t>9</w:t>
            </w:r>
            <w:r>
              <w:rPr>
                <w:b/>
                <w:sz w:val="24"/>
              </w:rPr>
              <w:t xml:space="preserve"> 本项目吸附法处理有机废气技术规范相符情况</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90"/>
              <w:gridCol w:w="4606"/>
              <w:gridCol w:w="28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309" w:type="pct"/>
                  <w:vAlign w:val="center"/>
                </w:tcPr>
                <w:p>
                  <w:pPr>
                    <w:widowControl/>
                    <w:jc w:val="center"/>
                    <w:textAlignment w:val="center"/>
                    <w:rPr>
                      <w:b/>
                      <w:bCs/>
                      <w:color w:val="000000"/>
                      <w:kern w:val="0"/>
                      <w:szCs w:val="21"/>
                    </w:rPr>
                  </w:pPr>
                  <w:r>
                    <w:rPr>
                      <w:b/>
                      <w:bCs/>
                      <w:color w:val="000000"/>
                      <w:kern w:val="0"/>
                      <w:szCs w:val="21"/>
                    </w:rPr>
                    <w:t>内容</w:t>
                  </w:r>
                </w:p>
              </w:tc>
              <w:tc>
                <w:tcPr>
                  <w:tcW w:w="2904" w:type="pct"/>
                  <w:vAlign w:val="center"/>
                </w:tcPr>
                <w:p>
                  <w:pPr>
                    <w:widowControl/>
                    <w:jc w:val="center"/>
                    <w:textAlignment w:val="center"/>
                    <w:rPr>
                      <w:b/>
                      <w:bCs/>
                      <w:color w:val="000000"/>
                      <w:kern w:val="0"/>
                      <w:szCs w:val="21"/>
                    </w:rPr>
                  </w:pPr>
                  <w:r>
                    <w:rPr>
                      <w:b/>
                      <w:bCs/>
                      <w:color w:val="000000"/>
                      <w:kern w:val="0"/>
                      <w:szCs w:val="21"/>
                    </w:rPr>
                    <w:t>《吸附法工业有机废气治理工程技术规范》</w:t>
                  </w:r>
                </w:p>
              </w:tc>
              <w:tc>
                <w:tcPr>
                  <w:tcW w:w="1787" w:type="pct"/>
                  <w:vAlign w:val="center"/>
                </w:tcPr>
                <w:p>
                  <w:pPr>
                    <w:widowControl/>
                    <w:jc w:val="center"/>
                    <w:textAlignment w:val="center"/>
                    <w:rPr>
                      <w:b/>
                      <w:bCs/>
                      <w:color w:val="000000"/>
                      <w:kern w:val="0"/>
                      <w:szCs w:val="21"/>
                    </w:rPr>
                  </w:pPr>
                  <w:r>
                    <w:rPr>
                      <w:b/>
                      <w:bCs/>
                      <w:color w:val="000000"/>
                      <w:kern w:val="0"/>
                      <w:szCs w:val="21"/>
                    </w:rPr>
                    <w:t>本项目实施情况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32" w:hRule="atLeast"/>
                <w:jc w:val="center"/>
              </w:trPr>
              <w:tc>
                <w:tcPr>
                  <w:tcW w:w="309" w:type="pct"/>
                  <w:vMerge w:val="restart"/>
                  <w:vAlign w:val="center"/>
                </w:tcPr>
                <w:p>
                  <w:pPr>
                    <w:widowControl/>
                    <w:jc w:val="center"/>
                    <w:textAlignment w:val="center"/>
                    <w:rPr>
                      <w:color w:val="000000"/>
                      <w:kern w:val="0"/>
                      <w:szCs w:val="21"/>
                    </w:rPr>
                  </w:pPr>
                  <w:r>
                    <w:rPr>
                      <w:color w:val="000000"/>
                      <w:kern w:val="0"/>
                      <w:szCs w:val="21"/>
                    </w:rPr>
                    <w:t>废气收集</w:t>
                  </w:r>
                </w:p>
              </w:tc>
              <w:tc>
                <w:tcPr>
                  <w:tcW w:w="2904" w:type="pct"/>
                  <w:vAlign w:val="center"/>
                </w:tcPr>
                <w:p>
                  <w:pPr>
                    <w:widowControl/>
                    <w:jc w:val="center"/>
                    <w:textAlignment w:val="center"/>
                    <w:rPr>
                      <w:kern w:val="0"/>
                      <w:szCs w:val="21"/>
                    </w:rPr>
                  </w:pPr>
                  <w:r>
                    <w:rPr>
                      <w:kern w:val="0"/>
                      <w:szCs w:val="21"/>
                    </w:rPr>
                    <w:t xml:space="preserve">吸附装置的效率不得低于 </w:t>
                  </w:r>
                  <w:r>
                    <w:rPr>
                      <w:rFonts w:hint="eastAsia"/>
                      <w:kern w:val="0"/>
                      <w:szCs w:val="21"/>
                    </w:rPr>
                    <w:t>90</w:t>
                  </w:r>
                  <w:r>
                    <w:rPr>
                      <w:kern w:val="0"/>
                      <w:szCs w:val="21"/>
                    </w:rPr>
                    <w:t>%</w:t>
                  </w:r>
                </w:p>
              </w:tc>
              <w:tc>
                <w:tcPr>
                  <w:tcW w:w="1787" w:type="pct"/>
                  <w:vAlign w:val="center"/>
                </w:tcPr>
                <w:p>
                  <w:pPr>
                    <w:widowControl/>
                    <w:jc w:val="center"/>
                    <w:textAlignment w:val="center"/>
                    <w:rPr>
                      <w:kern w:val="0"/>
                      <w:szCs w:val="21"/>
                    </w:rPr>
                  </w:pPr>
                  <w:r>
                    <w:rPr>
                      <w:kern w:val="0"/>
                      <w:szCs w:val="21"/>
                    </w:rPr>
                    <w:t>本项目吸附装置的效率约为90%，符合规范要求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309" w:type="pct"/>
                  <w:vMerge w:val="continue"/>
                  <w:vAlign w:val="center"/>
                </w:tcPr>
                <w:p>
                  <w:pPr>
                    <w:widowControl/>
                    <w:jc w:val="center"/>
                    <w:textAlignment w:val="center"/>
                    <w:rPr>
                      <w:color w:val="000000"/>
                      <w:kern w:val="0"/>
                      <w:szCs w:val="21"/>
                    </w:rPr>
                  </w:pPr>
                </w:p>
              </w:tc>
              <w:tc>
                <w:tcPr>
                  <w:tcW w:w="2904" w:type="pct"/>
                  <w:vAlign w:val="center"/>
                </w:tcPr>
                <w:p>
                  <w:pPr>
                    <w:widowControl/>
                    <w:jc w:val="center"/>
                    <w:textAlignment w:val="center"/>
                    <w:rPr>
                      <w:color w:val="000000"/>
                      <w:kern w:val="0"/>
                      <w:szCs w:val="21"/>
                    </w:rPr>
                  </w:pPr>
                  <w:r>
                    <w:rPr>
                      <w:color w:val="000000"/>
                      <w:kern w:val="0"/>
                      <w:szCs w:val="21"/>
                    </w:rPr>
                    <w:t>废气收集系统设计应符合GB50019 的规定</w:t>
                  </w:r>
                </w:p>
              </w:tc>
              <w:tc>
                <w:tcPr>
                  <w:tcW w:w="1787" w:type="pct"/>
                  <w:vAlign w:val="center"/>
                </w:tcPr>
                <w:p>
                  <w:pPr>
                    <w:widowControl/>
                    <w:jc w:val="center"/>
                    <w:textAlignment w:val="center"/>
                    <w:rPr>
                      <w:color w:val="000000"/>
                      <w:kern w:val="0"/>
                      <w:szCs w:val="21"/>
                    </w:rPr>
                  </w:pPr>
                  <w:r>
                    <w:rPr>
                      <w:color w:val="000000"/>
                      <w:kern w:val="0"/>
                      <w:szCs w:val="21"/>
                    </w:rPr>
                    <w:t>本项目废气收集系统设计符合规范要求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02" w:hRule="atLeast"/>
                <w:jc w:val="center"/>
              </w:trPr>
              <w:tc>
                <w:tcPr>
                  <w:tcW w:w="309" w:type="pct"/>
                  <w:vMerge w:val="continue"/>
                  <w:vAlign w:val="center"/>
                </w:tcPr>
                <w:p>
                  <w:pPr>
                    <w:widowControl/>
                    <w:jc w:val="center"/>
                    <w:textAlignment w:val="center"/>
                    <w:rPr>
                      <w:color w:val="000000"/>
                      <w:kern w:val="0"/>
                      <w:szCs w:val="21"/>
                    </w:rPr>
                  </w:pPr>
                </w:p>
              </w:tc>
              <w:tc>
                <w:tcPr>
                  <w:tcW w:w="2904" w:type="pct"/>
                  <w:vAlign w:val="center"/>
                </w:tcPr>
                <w:p>
                  <w:pPr>
                    <w:widowControl/>
                    <w:jc w:val="center"/>
                    <w:textAlignment w:val="center"/>
                    <w:rPr>
                      <w:color w:val="000000"/>
                      <w:kern w:val="0"/>
                      <w:szCs w:val="21"/>
                    </w:rPr>
                  </w:pPr>
                  <w:r>
                    <w:rPr>
                      <w:color w:val="000000"/>
                      <w:kern w:val="0"/>
                      <w:szCs w:val="21"/>
                    </w:rPr>
                    <w:t>应尽可能利用主体生产装置本身的废气收集系统进行收集。集气罩的配置应与生产工艺协调一致，不影响工艺操作。在保证收集能力的前提下，应结构简单，便于安装和维护管理</w:t>
                  </w:r>
                </w:p>
              </w:tc>
              <w:tc>
                <w:tcPr>
                  <w:tcW w:w="1787" w:type="pct"/>
                  <w:vAlign w:val="center"/>
                </w:tcPr>
                <w:p>
                  <w:pPr>
                    <w:widowControl/>
                    <w:jc w:val="center"/>
                    <w:textAlignment w:val="center"/>
                    <w:rPr>
                      <w:color w:val="000000"/>
                      <w:kern w:val="0"/>
                      <w:szCs w:val="21"/>
                    </w:rPr>
                  </w:pPr>
                  <w:r>
                    <w:rPr>
                      <w:rFonts w:hint="eastAsia"/>
                      <w:color w:val="000000"/>
                      <w:kern w:val="0"/>
                      <w:szCs w:val="21"/>
                    </w:rPr>
                    <w:t>本项目废气收集系统与生产工艺协调一致，可操作性强，</w:t>
                  </w:r>
                  <w:r>
                    <w:rPr>
                      <w:color w:val="000000"/>
                      <w:kern w:val="0"/>
                      <w:szCs w:val="21"/>
                    </w:rPr>
                    <w:t>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309" w:type="pct"/>
                  <w:vMerge w:val="continue"/>
                  <w:vAlign w:val="center"/>
                </w:tcPr>
                <w:p>
                  <w:pPr>
                    <w:widowControl/>
                    <w:jc w:val="center"/>
                    <w:textAlignment w:val="center"/>
                    <w:rPr>
                      <w:color w:val="000000"/>
                      <w:kern w:val="0"/>
                      <w:szCs w:val="21"/>
                    </w:rPr>
                  </w:pPr>
                </w:p>
              </w:tc>
              <w:tc>
                <w:tcPr>
                  <w:tcW w:w="2904" w:type="pct"/>
                  <w:vAlign w:val="center"/>
                </w:tcPr>
                <w:p>
                  <w:pPr>
                    <w:widowControl/>
                    <w:jc w:val="center"/>
                    <w:textAlignment w:val="center"/>
                    <w:rPr>
                      <w:color w:val="000000"/>
                      <w:kern w:val="0"/>
                      <w:szCs w:val="21"/>
                    </w:rPr>
                  </w:pPr>
                  <w:r>
                    <w:rPr>
                      <w:color w:val="000000"/>
                      <w:kern w:val="0"/>
                      <w:szCs w:val="21"/>
                    </w:rPr>
                    <w:t>确定集气罩的吸气口装置、结构和风速时，应使罩口呈微负压状态，且罩内负压均匀。</w:t>
                  </w:r>
                </w:p>
              </w:tc>
              <w:tc>
                <w:tcPr>
                  <w:tcW w:w="1787" w:type="pct"/>
                  <w:vAlign w:val="center"/>
                </w:tcPr>
                <w:p>
                  <w:pPr>
                    <w:widowControl/>
                    <w:jc w:val="center"/>
                    <w:textAlignment w:val="center"/>
                    <w:rPr>
                      <w:color w:val="000000"/>
                      <w:kern w:val="0"/>
                      <w:szCs w:val="21"/>
                    </w:rPr>
                  </w:pPr>
                  <w:r>
                    <w:rPr>
                      <w:color w:val="000000"/>
                      <w:kern w:val="0"/>
                      <w:szCs w:val="21"/>
                    </w:rPr>
                    <w:t>采用局部集气罩的，距集气罩开口面最远处的VOCs无组织排放位置，控制风速应不低于0.3米/秒</w:t>
                  </w:r>
                  <w:r>
                    <w:rPr>
                      <w:rFonts w:hint="eastAsia"/>
                      <w:color w:val="000000"/>
                      <w:kern w:val="0"/>
                      <w:szCs w:val="21"/>
                    </w:rPr>
                    <w:t>，</w:t>
                  </w:r>
                  <w:r>
                    <w:rPr>
                      <w:color w:val="000000"/>
                      <w:kern w:val="0"/>
                      <w:szCs w:val="21"/>
                    </w:rPr>
                    <w:t>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80" w:hRule="atLeast"/>
                <w:jc w:val="center"/>
              </w:trPr>
              <w:tc>
                <w:tcPr>
                  <w:tcW w:w="309" w:type="pct"/>
                  <w:vMerge w:val="continue"/>
                  <w:vAlign w:val="center"/>
                </w:tcPr>
                <w:p>
                  <w:pPr>
                    <w:widowControl/>
                    <w:jc w:val="center"/>
                    <w:textAlignment w:val="center"/>
                    <w:rPr>
                      <w:color w:val="000000"/>
                      <w:kern w:val="0"/>
                      <w:szCs w:val="21"/>
                    </w:rPr>
                  </w:pPr>
                </w:p>
              </w:tc>
              <w:tc>
                <w:tcPr>
                  <w:tcW w:w="2904" w:type="pct"/>
                  <w:vAlign w:val="center"/>
                </w:tcPr>
                <w:p>
                  <w:pPr>
                    <w:widowControl/>
                    <w:jc w:val="center"/>
                    <w:textAlignment w:val="center"/>
                    <w:rPr>
                      <w:color w:val="000000"/>
                      <w:kern w:val="0"/>
                      <w:szCs w:val="21"/>
                    </w:rPr>
                  </w:pPr>
                  <w:r>
                    <w:rPr>
                      <w:color w:val="000000"/>
                      <w:kern w:val="0"/>
                      <w:szCs w:val="21"/>
                    </w:rPr>
                    <w:t>集气罩的吸气方向应尽可能与污染气流运动方向一致，防止吸气罩周围气流紊乱，避免或减弱干扰气流和送风气流等对吸气气流的影响。</w:t>
                  </w:r>
                </w:p>
              </w:tc>
              <w:tc>
                <w:tcPr>
                  <w:tcW w:w="1787" w:type="pct"/>
                  <w:vAlign w:val="center"/>
                </w:tcPr>
                <w:p>
                  <w:pPr>
                    <w:widowControl/>
                    <w:jc w:val="center"/>
                    <w:textAlignment w:val="center"/>
                    <w:rPr>
                      <w:color w:val="000000"/>
                      <w:kern w:val="0"/>
                      <w:szCs w:val="21"/>
                    </w:rPr>
                  </w:pPr>
                  <w:r>
                    <w:rPr>
                      <w:color w:val="000000"/>
                      <w:kern w:val="0"/>
                      <w:szCs w:val="21"/>
                    </w:rPr>
                    <w:t>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32" w:hRule="atLeast"/>
                <w:jc w:val="center"/>
              </w:trPr>
              <w:tc>
                <w:tcPr>
                  <w:tcW w:w="309" w:type="pct"/>
                  <w:vMerge w:val="continue"/>
                  <w:vAlign w:val="center"/>
                </w:tcPr>
                <w:p>
                  <w:pPr>
                    <w:widowControl/>
                    <w:jc w:val="center"/>
                    <w:textAlignment w:val="center"/>
                    <w:rPr>
                      <w:color w:val="000000"/>
                      <w:kern w:val="0"/>
                      <w:szCs w:val="21"/>
                    </w:rPr>
                  </w:pPr>
                </w:p>
              </w:tc>
              <w:tc>
                <w:tcPr>
                  <w:tcW w:w="2904" w:type="pct"/>
                  <w:vAlign w:val="center"/>
                </w:tcPr>
                <w:p>
                  <w:pPr>
                    <w:widowControl/>
                    <w:jc w:val="center"/>
                    <w:textAlignment w:val="center"/>
                    <w:rPr>
                      <w:color w:val="000000"/>
                      <w:kern w:val="0"/>
                      <w:szCs w:val="21"/>
                    </w:rPr>
                  </w:pPr>
                  <w:r>
                    <w:rPr>
                      <w:color w:val="000000"/>
                      <w:kern w:val="0"/>
                      <w:szCs w:val="21"/>
                    </w:rPr>
                    <w:t>当废气产生点较多、彼此距离较远时，应适当分设多套收集系统</w:t>
                  </w:r>
                </w:p>
              </w:tc>
              <w:tc>
                <w:tcPr>
                  <w:tcW w:w="1787" w:type="pct"/>
                  <w:vAlign w:val="center"/>
                </w:tcPr>
                <w:p>
                  <w:pPr>
                    <w:widowControl/>
                    <w:jc w:val="center"/>
                    <w:textAlignment w:val="center"/>
                    <w:rPr>
                      <w:color w:val="000000"/>
                      <w:kern w:val="0"/>
                      <w:szCs w:val="21"/>
                    </w:rPr>
                  </w:pPr>
                  <w:r>
                    <w:rPr>
                      <w:color w:val="000000"/>
                      <w:kern w:val="0"/>
                      <w:szCs w:val="21"/>
                    </w:rPr>
                    <w:t>本项目产污节点</w:t>
                  </w:r>
                  <w:r>
                    <w:rPr>
                      <w:rFonts w:hint="eastAsia"/>
                      <w:color w:val="000000"/>
                      <w:kern w:val="0"/>
                      <w:szCs w:val="21"/>
                    </w:rPr>
                    <w:t>均</w:t>
                  </w:r>
                  <w:r>
                    <w:rPr>
                      <w:color w:val="000000"/>
                      <w:kern w:val="0"/>
                      <w:szCs w:val="21"/>
                    </w:rPr>
                    <w:t>配有集气系统，符合规范要求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914" w:hRule="atLeast"/>
                <w:jc w:val="center"/>
              </w:trPr>
              <w:tc>
                <w:tcPr>
                  <w:tcW w:w="309" w:type="pct"/>
                  <w:vAlign w:val="center"/>
                </w:tcPr>
                <w:p>
                  <w:pPr>
                    <w:widowControl/>
                    <w:jc w:val="center"/>
                    <w:textAlignment w:val="center"/>
                    <w:rPr>
                      <w:color w:val="000000"/>
                      <w:kern w:val="0"/>
                      <w:szCs w:val="21"/>
                    </w:rPr>
                  </w:pPr>
                  <w:r>
                    <w:rPr>
                      <w:color w:val="000000"/>
                      <w:kern w:val="0"/>
                      <w:szCs w:val="21"/>
                    </w:rPr>
                    <w:t>预处理</w:t>
                  </w:r>
                </w:p>
              </w:tc>
              <w:tc>
                <w:tcPr>
                  <w:tcW w:w="2904" w:type="pct"/>
                  <w:vAlign w:val="center"/>
                </w:tcPr>
                <w:p>
                  <w:pPr>
                    <w:widowControl/>
                    <w:jc w:val="center"/>
                    <w:textAlignment w:val="center"/>
                    <w:rPr>
                      <w:color w:val="000000"/>
                      <w:kern w:val="0"/>
                      <w:szCs w:val="21"/>
                    </w:rPr>
                  </w:pPr>
                  <w:r>
                    <w:rPr>
                      <w:color w:val="000000"/>
                      <w:kern w:val="0"/>
                      <w:szCs w:val="21"/>
                    </w:rPr>
                    <w:t>预处理设备应根据废气的成分、性质和影响吸附过程的物质性质及含量进行选择；当废气中颗粒物含量超过1mg/m</w:t>
                  </w:r>
                  <w:r>
                    <w:rPr>
                      <w:color w:val="000000"/>
                      <w:kern w:val="0"/>
                      <w:szCs w:val="21"/>
                      <w:vertAlign w:val="superscript"/>
                    </w:rPr>
                    <w:t>3</w:t>
                  </w:r>
                  <w:r>
                    <w:rPr>
                      <w:color w:val="000000"/>
                      <w:kern w:val="0"/>
                      <w:szCs w:val="21"/>
                    </w:rPr>
                    <w:t>时，应先采用过滤或洗涤等方式进行预处理；当废气中含有吸附后难以脱附或造成吸附剂中毒的成分时，应采用洗涤或预吸附等预处理方式处理；过滤装置两端应装设压差计，当过滤器的阻力超过规定值时应及时清理或更换过滤材料</w:t>
                  </w:r>
                </w:p>
              </w:tc>
              <w:tc>
                <w:tcPr>
                  <w:tcW w:w="1787" w:type="pct"/>
                  <w:vAlign w:val="center"/>
                </w:tcPr>
                <w:p>
                  <w:pPr>
                    <w:widowControl/>
                    <w:jc w:val="center"/>
                    <w:textAlignment w:val="center"/>
                    <w:rPr>
                      <w:color w:val="000000"/>
                      <w:kern w:val="0"/>
                      <w:szCs w:val="21"/>
                    </w:rPr>
                  </w:pPr>
                  <w:r>
                    <w:rPr>
                      <w:color w:val="000000"/>
                      <w:kern w:val="0"/>
                      <w:szCs w:val="21"/>
                    </w:rPr>
                    <w:t>本项目有机废气进入吸附装置，本项目处理颗粒物浓度不高于1mg/m</w:t>
                  </w:r>
                  <w:r>
                    <w:rPr>
                      <w:color w:val="000000"/>
                      <w:kern w:val="0"/>
                      <w:szCs w:val="21"/>
                      <w:vertAlign w:val="superscript"/>
                    </w:rPr>
                    <w:t>3</w:t>
                  </w:r>
                  <w:r>
                    <w:rPr>
                      <w:rFonts w:hint="eastAsia"/>
                      <w:color w:val="000000"/>
                      <w:kern w:val="0"/>
                      <w:szCs w:val="21"/>
                    </w:rPr>
                    <w:t>；活性炭吸附装置两端安装压差计，当压差异常时更换活性炭，</w:t>
                  </w:r>
                  <w:r>
                    <w:rPr>
                      <w:color w:val="000000"/>
                      <w:kern w:val="0"/>
                      <w:szCs w:val="21"/>
                    </w:rPr>
                    <w:t>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80" w:hRule="atLeast"/>
                <w:jc w:val="center"/>
              </w:trPr>
              <w:tc>
                <w:tcPr>
                  <w:tcW w:w="309" w:type="pct"/>
                  <w:vMerge w:val="restart"/>
                  <w:vAlign w:val="center"/>
                </w:tcPr>
                <w:p>
                  <w:pPr>
                    <w:widowControl/>
                    <w:jc w:val="center"/>
                    <w:textAlignment w:val="center"/>
                    <w:rPr>
                      <w:color w:val="000000"/>
                      <w:kern w:val="0"/>
                      <w:szCs w:val="21"/>
                    </w:rPr>
                  </w:pPr>
                  <w:r>
                    <w:rPr>
                      <w:color w:val="000000"/>
                      <w:kern w:val="0"/>
                      <w:szCs w:val="21"/>
                    </w:rPr>
                    <w:t>二次污染物控制</w:t>
                  </w:r>
                </w:p>
              </w:tc>
              <w:tc>
                <w:tcPr>
                  <w:tcW w:w="2904" w:type="pct"/>
                  <w:vAlign w:val="center"/>
                </w:tcPr>
                <w:p>
                  <w:pPr>
                    <w:widowControl/>
                    <w:jc w:val="center"/>
                    <w:textAlignment w:val="center"/>
                    <w:rPr>
                      <w:color w:val="000000"/>
                      <w:kern w:val="0"/>
                      <w:szCs w:val="21"/>
                    </w:rPr>
                  </w:pPr>
                  <w:r>
                    <w:rPr>
                      <w:color w:val="000000"/>
                      <w:kern w:val="0"/>
                      <w:szCs w:val="21"/>
                    </w:rPr>
                    <w:t>预处理产生的粉尘和废渣以及更换后的过滤材料、吸附剂的处理应符合国家固体废弃物处理与处置的相关规定。</w:t>
                  </w:r>
                </w:p>
              </w:tc>
              <w:tc>
                <w:tcPr>
                  <w:tcW w:w="1787" w:type="pct"/>
                  <w:vAlign w:val="center"/>
                </w:tcPr>
                <w:p>
                  <w:pPr>
                    <w:widowControl/>
                    <w:jc w:val="center"/>
                    <w:textAlignment w:val="center"/>
                    <w:rPr>
                      <w:color w:val="000000"/>
                      <w:kern w:val="0"/>
                      <w:szCs w:val="21"/>
                    </w:rPr>
                  </w:pPr>
                  <w:r>
                    <w:rPr>
                      <w:color w:val="000000"/>
                      <w:kern w:val="0"/>
                      <w:szCs w:val="21"/>
                    </w:rPr>
                    <w:t>本项目废活性炭交由资质单位处理，符合规范要求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09" w:hRule="atLeast"/>
                <w:jc w:val="center"/>
              </w:trPr>
              <w:tc>
                <w:tcPr>
                  <w:tcW w:w="309" w:type="pct"/>
                  <w:vMerge w:val="continue"/>
                  <w:vAlign w:val="center"/>
                </w:tcPr>
                <w:p>
                  <w:pPr>
                    <w:widowControl/>
                    <w:jc w:val="center"/>
                    <w:textAlignment w:val="center"/>
                    <w:rPr>
                      <w:color w:val="000000"/>
                      <w:kern w:val="0"/>
                      <w:szCs w:val="21"/>
                    </w:rPr>
                  </w:pPr>
                </w:p>
              </w:tc>
              <w:tc>
                <w:tcPr>
                  <w:tcW w:w="2904" w:type="pct"/>
                  <w:vAlign w:val="center"/>
                </w:tcPr>
                <w:p>
                  <w:pPr>
                    <w:widowControl/>
                    <w:jc w:val="center"/>
                    <w:textAlignment w:val="center"/>
                    <w:rPr>
                      <w:color w:val="000000"/>
                      <w:kern w:val="0"/>
                      <w:szCs w:val="21"/>
                    </w:rPr>
                  </w:pPr>
                  <w:r>
                    <w:rPr>
                      <w:color w:val="000000"/>
                      <w:kern w:val="0"/>
                      <w:szCs w:val="21"/>
                    </w:rPr>
                    <w:t>噪声控制应符合GBJ87 和GB12348 的规定</w:t>
                  </w:r>
                </w:p>
              </w:tc>
              <w:tc>
                <w:tcPr>
                  <w:tcW w:w="1787" w:type="pct"/>
                  <w:vAlign w:val="center"/>
                </w:tcPr>
                <w:p>
                  <w:pPr>
                    <w:widowControl/>
                    <w:jc w:val="center"/>
                    <w:textAlignment w:val="center"/>
                    <w:rPr>
                      <w:color w:val="000000"/>
                      <w:kern w:val="0"/>
                      <w:szCs w:val="21"/>
                    </w:rPr>
                  </w:pPr>
                  <w:r>
                    <w:rPr>
                      <w:color w:val="000000"/>
                      <w:kern w:val="0"/>
                      <w:szCs w:val="21"/>
                    </w:rPr>
                    <w:t>噪声控制符合GBJ87和GB12348的规定，符合规范要求</w:t>
                  </w:r>
                </w:p>
              </w:tc>
            </w:tr>
          </w:tbl>
          <w:p>
            <w:pPr>
              <w:snapToGrid w:val="0"/>
              <w:spacing w:line="480" w:lineRule="exact"/>
              <w:rPr>
                <w:rFonts w:ascii="宋体" w:hAnsi="宋体" w:cs="宋体"/>
                <w:b/>
                <w:bCs/>
                <w:color w:val="000000"/>
                <w:kern w:val="0"/>
                <w:sz w:val="24"/>
                <w:lang w:bidi="ar"/>
              </w:rPr>
            </w:pPr>
            <w:r>
              <w:rPr>
                <w:rFonts w:hint="eastAsia" w:ascii="宋体" w:hAnsi="宋体" w:cs="宋体"/>
                <w:b/>
                <w:bCs/>
                <w:color w:val="000000"/>
                <w:kern w:val="0"/>
                <w:sz w:val="24"/>
                <w:lang w:bidi="ar"/>
              </w:rPr>
              <w:t>9、与《江苏省“十四五”生态环境保护规划》（苏政办发[2021]84号）相符性分析</w:t>
            </w:r>
          </w:p>
          <w:p>
            <w:pPr>
              <w:widowControl/>
              <w:jc w:val="center"/>
              <w:rPr>
                <w:b/>
                <w:sz w:val="24"/>
              </w:rPr>
            </w:pPr>
            <w:r>
              <w:rPr>
                <w:b/>
                <w:sz w:val="24"/>
              </w:rPr>
              <w:t>表1-</w:t>
            </w:r>
            <w:r>
              <w:rPr>
                <w:rFonts w:hint="eastAsia"/>
                <w:b/>
                <w:sz w:val="24"/>
              </w:rPr>
              <w:t>10</w:t>
            </w:r>
            <w:r>
              <w:rPr>
                <w:b/>
                <w:sz w:val="24"/>
              </w:rPr>
              <w:t xml:space="preserve"> 与《</w:t>
            </w:r>
            <w:r>
              <w:rPr>
                <w:rFonts w:hint="eastAsia"/>
                <w:b/>
                <w:sz w:val="24"/>
              </w:rPr>
              <w:t>江苏省“十四五”生态环境保护规划</w:t>
            </w:r>
            <w:r>
              <w:rPr>
                <w:b/>
                <w:sz w:val="24"/>
              </w:rPr>
              <w:t>》相符性分析</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297"/>
              <w:gridCol w:w="3769"/>
              <w:gridCol w:w="8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78" w:type="pct"/>
                  <w:vAlign w:val="center"/>
                </w:tcPr>
                <w:p>
                  <w:pPr>
                    <w:pStyle w:val="3"/>
                    <w:spacing w:after="0"/>
                    <w:jc w:val="center"/>
                    <w:rPr>
                      <w:szCs w:val="18"/>
                    </w:rPr>
                  </w:pPr>
                  <w:r>
                    <w:rPr>
                      <w:szCs w:val="18"/>
                    </w:rPr>
                    <w:t>文件相关内容</w:t>
                  </w:r>
                </w:p>
              </w:tc>
              <w:tc>
                <w:tcPr>
                  <w:tcW w:w="2376" w:type="pct"/>
                  <w:vAlign w:val="center"/>
                </w:tcPr>
                <w:p>
                  <w:pPr>
                    <w:pStyle w:val="3"/>
                    <w:spacing w:after="0"/>
                    <w:jc w:val="center"/>
                    <w:rPr>
                      <w:szCs w:val="18"/>
                    </w:rPr>
                  </w:pPr>
                  <w:r>
                    <w:rPr>
                      <w:rFonts w:hint="eastAsia"/>
                      <w:szCs w:val="18"/>
                    </w:rPr>
                    <w:t>本</w:t>
                  </w:r>
                  <w:r>
                    <w:rPr>
                      <w:szCs w:val="18"/>
                    </w:rPr>
                    <w:t>项目建设</w:t>
                  </w:r>
                  <w:r>
                    <w:rPr>
                      <w:rFonts w:hint="eastAsia"/>
                      <w:szCs w:val="18"/>
                    </w:rPr>
                    <w:t>情况</w:t>
                  </w:r>
                </w:p>
              </w:tc>
              <w:tc>
                <w:tcPr>
                  <w:tcW w:w="545" w:type="pct"/>
                  <w:vAlign w:val="center"/>
                </w:tcPr>
                <w:p>
                  <w:pPr>
                    <w:pStyle w:val="3"/>
                    <w:spacing w:after="0"/>
                    <w:jc w:val="center"/>
                    <w:rPr>
                      <w:szCs w:val="18"/>
                    </w:rPr>
                  </w:pPr>
                  <w:r>
                    <w:rPr>
                      <w:szCs w:val="18"/>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78" w:type="pct"/>
                  <w:vAlign w:val="center"/>
                </w:tcPr>
                <w:p>
                  <w:pPr>
                    <w:widowControl/>
                    <w:jc w:val="center"/>
                    <w:textAlignment w:val="center"/>
                    <w:rPr>
                      <w:color w:val="000000"/>
                      <w:kern w:val="0"/>
                      <w:szCs w:val="21"/>
                    </w:rPr>
                  </w:pPr>
                  <w:r>
                    <w:rPr>
                      <w:rFonts w:hint="eastAsia"/>
                      <w:color w:val="000000"/>
                      <w:kern w:val="0"/>
                      <w:szCs w:val="21"/>
                    </w:rPr>
                    <w:t>加强VOCs治理攻坚，大力推进源头替代。实施《江苏省重点行业挥发性有机物清洁原料替代工作方案》......加强VOCs无组织排放控制，实施含VOCs物料全方位、全链条、全环节管理，强化储存、转移和输送、设备与管线组件泄露、敞开液面逸散以及工艺过程等无组织排放环节的污染收集治理。</w:t>
                  </w:r>
                </w:p>
              </w:tc>
              <w:tc>
                <w:tcPr>
                  <w:tcW w:w="2376" w:type="pct"/>
                  <w:vAlign w:val="center"/>
                </w:tcPr>
                <w:p>
                  <w:pPr>
                    <w:widowControl/>
                    <w:jc w:val="center"/>
                    <w:textAlignment w:val="center"/>
                    <w:rPr>
                      <w:color w:val="000000"/>
                      <w:kern w:val="0"/>
                      <w:szCs w:val="21"/>
                    </w:rPr>
                  </w:pPr>
                  <w:r>
                    <w:rPr>
                      <w:rFonts w:hint="eastAsia"/>
                      <w:color w:val="000000"/>
                      <w:kern w:val="0"/>
                      <w:szCs w:val="21"/>
                    </w:rPr>
                    <w:t>本项目</w:t>
                  </w:r>
                  <w:r>
                    <w:rPr>
                      <w:color w:val="000000"/>
                      <w:kern w:val="0"/>
                      <w:szCs w:val="21"/>
                    </w:rPr>
                    <w:t>生产过程中采用</w:t>
                  </w:r>
                  <w:r>
                    <w:rPr>
                      <w:rFonts w:hint="eastAsia"/>
                      <w:color w:val="000000"/>
                      <w:kern w:val="0"/>
                      <w:szCs w:val="21"/>
                    </w:rPr>
                    <w:t>的清洗剂、三防漆和白胶满足</w:t>
                  </w:r>
                  <w:r>
                    <w:rPr>
                      <w:color w:val="000000"/>
                      <w:kern w:val="0"/>
                      <w:szCs w:val="21"/>
                    </w:rPr>
                    <w:t>《</w:t>
                  </w:r>
                  <w:r>
                    <w:rPr>
                      <w:rFonts w:hint="eastAsia"/>
                      <w:color w:val="000000"/>
                      <w:kern w:val="0"/>
                      <w:szCs w:val="21"/>
                    </w:rPr>
                    <w:t>清洗剂</w:t>
                  </w:r>
                  <w:r>
                    <w:rPr>
                      <w:color w:val="000000"/>
                      <w:kern w:val="0"/>
                      <w:szCs w:val="21"/>
                    </w:rPr>
                    <w:t>挥发性有机化合物</w:t>
                  </w:r>
                  <w:r>
                    <w:rPr>
                      <w:rFonts w:hint="eastAsia"/>
                      <w:color w:val="000000"/>
                      <w:kern w:val="0"/>
                      <w:szCs w:val="21"/>
                    </w:rPr>
                    <w:t>含量限值</w:t>
                  </w:r>
                  <w:r>
                    <w:rPr>
                      <w:color w:val="000000"/>
                      <w:kern w:val="0"/>
                      <w:szCs w:val="21"/>
                    </w:rPr>
                    <w:t xml:space="preserve">》（GB </w:t>
                  </w:r>
                  <w:r>
                    <w:rPr>
                      <w:rFonts w:hint="eastAsia"/>
                      <w:color w:val="000000"/>
                      <w:kern w:val="0"/>
                      <w:szCs w:val="21"/>
                    </w:rPr>
                    <w:t>38508-2020</w:t>
                  </w:r>
                  <w:r>
                    <w:rPr>
                      <w:color w:val="000000"/>
                      <w:kern w:val="0"/>
                      <w:szCs w:val="21"/>
                    </w:rPr>
                    <w:t>）</w:t>
                  </w:r>
                  <w:r>
                    <w:rPr>
                      <w:rFonts w:hint="eastAsia"/>
                      <w:color w:val="000000"/>
                      <w:kern w:val="0"/>
                      <w:szCs w:val="21"/>
                    </w:rPr>
                    <w:t>、《工业防护涂料中有害物质限量》（</w:t>
                  </w:r>
                  <w:r>
                    <w:rPr>
                      <w:color w:val="000000"/>
                      <w:kern w:val="0"/>
                      <w:szCs w:val="21"/>
                    </w:rPr>
                    <w:t>GB30981-2020</w:t>
                  </w:r>
                  <w:r>
                    <w:rPr>
                      <w:rFonts w:hint="eastAsia"/>
                      <w:color w:val="000000"/>
                      <w:kern w:val="0"/>
                      <w:szCs w:val="21"/>
                    </w:rPr>
                    <w:t>）和</w:t>
                  </w:r>
                  <w:r>
                    <w:rPr>
                      <w:rFonts w:hint="eastAsia"/>
                      <w:color w:val="000000"/>
                      <w:kern w:val="0"/>
                      <w:szCs w:val="21"/>
                      <w:lang w:bidi="ar"/>
                    </w:rPr>
                    <w:t>《胶粘剂挥发性有机物限制》（GB33372-2020）</w:t>
                  </w:r>
                  <w:r>
                    <w:rPr>
                      <w:rFonts w:hint="eastAsia"/>
                      <w:color w:val="000000"/>
                      <w:kern w:val="0"/>
                      <w:szCs w:val="21"/>
                    </w:rPr>
                    <w:t>限值标准，已取得不可替代说明</w:t>
                  </w:r>
                  <w:r>
                    <w:rPr>
                      <w:color w:val="000000"/>
                      <w:kern w:val="0"/>
                      <w:szCs w:val="21"/>
                    </w:rPr>
                    <w:t xml:space="preserve">；废气经收集后通过二级活性炭吸附后有组织排放。 </w:t>
                  </w:r>
                </w:p>
              </w:tc>
              <w:tc>
                <w:tcPr>
                  <w:tcW w:w="545" w:type="pct"/>
                  <w:vAlign w:val="center"/>
                </w:tcPr>
                <w:p>
                  <w:pPr>
                    <w:pStyle w:val="3"/>
                    <w:spacing w:after="0"/>
                    <w:jc w:val="center"/>
                    <w:rPr>
                      <w:szCs w:val="18"/>
                    </w:rPr>
                  </w:pPr>
                  <w:r>
                    <w:rPr>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78" w:type="pct"/>
                  <w:vAlign w:val="center"/>
                </w:tcPr>
                <w:p>
                  <w:pPr>
                    <w:widowControl/>
                    <w:jc w:val="center"/>
                    <w:textAlignment w:val="center"/>
                    <w:rPr>
                      <w:color w:val="000000"/>
                      <w:kern w:val="0"/>
                      <w:szCs w:val="21"/>
                    </w:rPr>
                  </w:pPr>
                  <w:r>
                    <w:rPr>
                      <w:rFonts w:hint="eastAsia"/>
                      <w:color w:val="000000"/>
                      <w:kern w:val="0"/>
                      <w:szCs w:val="21"/>
                    </w:rPr>
                    <w:t>持续巩固工业水污染防治。......推进长江、太湖等重点流域工业集聚区生活污水和工业废水分类收集、分质处理。......加强对重金属、有机有毒等特征水污染物监管。</w:t>
                  </w:r>
                </w:p>
              </w:tc>
              <w:tc>
                <w:tcPr>
                  <w:tcW w:w="2376" w:type="pct"/>
                  <w:vAlign w:val="center"/>
                </w:tcPr>
                <w:p>
                  <w:pPr>
                    <w:widowControl/>
                    <w:jc w:val="center"/>
                    <w:textAlignment w:val="center"/>
                    <w:rPr>
                      <w:color w:val="000000"/>
                      <w:kern w:val="0"/>
                      <w:szCs w:val="21"/>
                    </w:rPr>
                  </w:pPr>
                  <w:r>
                    <w:rPr>
                      <w:color w:val="000000"/>
                      <w:kern w:val="0"/>
                      <w:szCs w:val="21"/>
                    </w:rPr>
                    <w:t>本项目仅产生生活污水，接管进入</w:t>
                  </w:r>
                  <w:r>
                    <w:rPr>
                      <w:rFonts w:hint="eastAsia"/>
                      <w:color w:val="000000"/>
                      <w:kern w:val="0"/>
                      <w:szCs w:val="21"/>
                    </w:rPr>
                    <w:t>科技城</w:t>
                  </w:r>
                  <w:r>
                    <w:rPr>
                      <w:color w:val="000000"/>
                      <w:kern w:val="0"/>
                      <w:szCs w:val="21"/>
                    </w:rPr>
                    <w:t>水质净化厂集中处理，处理达标后尾水排入</w:t>
                  </w:r>
                  <w:r>
                    <w:rPr>
                      <w:rFonts w:hint="eastAsia"/>
                      <w:color w:val="000000"/>
                      <w:kern w:val="0"/>
                      <w:szCs w:val="21"/>
                    </w:rPr>
                    <w:t>浒光运河</w:t>
                  </w:r>
                  <w:r>
                    <w:rPr>
                      <w:color w:val="000000"/>
                      <w:kern w:val="0"/>
                      <w:szCs w:val="21"/>
                    </w:rPr>
                    <w:t>。</w:t>
                  </w:r>
                </w:p>
              </w:tc>
              <w:tc>
                <w:tcPr>
                  <w:tcW w:w="545" w:type="pct"/>
                  <w:vAlign w:val="center"/>
                </w:tcPr>
                <w:p>
                  <w:pPr>
                    <w:pStyle w:val="3"/>
                    <w:spacing w:after="0"/>
                    <w:jc w:val="center"/>
                    <w:rPr>
                      <w:szCs w:val="18"/>
                    </w:rPr>
                  </w:pPr>
                  <w:r>
                    <w:rPr>
                      <w:szCs w:val="18"/>
                    </w:rPr>
                    <w:t>相符</w:t>
                  </w:r>
                </w:p>
              </w:tc>
            </w:tr>
          </w:tbl>
          <w:p>
            <w:pPr>
              <w:tabs>
                <w:tab w:val="left" w:pos="1159"/>
              </w:tabs>
              <w:spacing w:before="60"/>
              <w:jc w:val="center"/>
            </w:pPr>
          </w:p>
        </w:tc>
      </w:tr>
    </w:tbl>
    <w:p>
      <w:pPr>
        <w:spacing w:line="360" w:lineRule="auto"/>
        <w:rPr>
          <w:rFonts w:eastAsia="黑体"/>
          <w:sz w:val="30"/>
          <w:highlight w:val="yellow"/>
        </w:rPr>
        <w:sectPr>
          <w:footerReference r:id="rId3" w:type="default"/>
          <w:pgSz w:w="11906" w:h="16838"/>
          <w:pgMar w:top="1440" w:right="1080" w:bottom="1440" w:left="1080" w:header="851" w:footer="1077" w:gutter="0"/>
          <w:pgNumType w:start="1"/>
          <w:cols w:space="720" w:num="1"/>
          <w:docGrid w:linePitch="312" w:charSpace="0"/>
        </w:sectPr>
      </w:pPr>
    </w:p>
    <w:p>
      <w:pPr>
        <w:pStyle w:val="17"/>
        <w:jc w:val="center"/>
        <w:outlineLvl w:val="0"/>
        <w:rPr>
          <w:rFonts w:ascii="Times New Roman" w:hAnsi="Times New Roman" w:eastAsia="黑体"/>
          <w:snapToGrid w:val="0"/>
          <w:sz w:val="30"/>
          <w:szCs w:val="30"/>
        </w:rPr>
      </w:pPr>
      <w:bookmarkStart w:id="8" w:name="_Toc9662"/>
      <w:r>
        <w:rPr>
          <w:rFonts w:ascii="Times New Roman" w:hAnsi="Times New Roman" w:eastAsia="黑体"/>
          <w:snapToGrid w:val="0"/>
          <w:sz w:val="30"/>
          <w:szCs w:val="30"/>
        </w:rPr>
        <w:t>二、建设项目工程分析</w:t>
      </w:r>
      <w:bookmarkEnd w:id="8"/>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7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823" w:type="dxa"/>
            <w:vAlign w:val="center"/>
          </w:tcPr>
          <w:p>
            <w:pPr>
              <w:pStyle w:val="17"/>
              <w:adjustRightInd w:val="0"/>
              <w:snapToGrid w:val="0"/>
              <w:spacing w:before="0" w:beforeAutospacing="0" w:after="0" w:afterAutospacing="0"/>
              <w:jc w:val="center"/>
              <w:rPr>
                <w:rFonts w:ascii="Times New Roman" w:hAnsi="Times New Roman"/>
                <w:color w:val="000000"/>
                <w:sz w:val="21"/>
                <w:szCs w:val="21"/>
                <w:highlight w:val="yellow"/>
              </w:rPr>
            </w:pPr>
            <w:r>
              <w:rPr>
                <w:rFonts w:ascii="Times New Roman" w:hAnsi="Times New Roman"/>
                <w:color w:val="000000"/>
                <w:szCs w:val="24"/>
              </w:rPr>
              <w:t>建设内容</w:t>
            </w:r>
          </w:p>
        </w:tc>
        <w:tc>
          <w:tcPr>
            <w:tcW w:w="8710" w:type="dxa"/>
          </w:tcPr>
          <w:p>
            <w:pPr>
              <w:tabs>
                <w:tab w:val="left" w:pos="0"/>
              </w:tabs>
              <w:spacing w:line="360" w:lineRule="auto"/>
              <w:jc w:val="left"/>
              <w:rPr>
                <w:b/>
                <w:color w:val="000000"/>
                <w:sz w:val="24"/>
              </w:rPr>
            </w:pPr>
            <w:r>
              <w:rPr>
                <w:b/>
                <w:color w:val="000000"/>
                <w:sz w:val="24"/>
              </w:rPr>
              <w:t>2.1项目由来</w:t>
            </w:r>
          </w:p>
          <w:p>
            <w:pPr>
              <w:spacing w:line="360" w:lineRule="auto"/>
              <w:ind w:firstLine="480"/>
              <w:jc w:val="left"/>
              <w:rPr>
                <w:color w:val="000000"/>
                <w:sz w:val="24"/>
              </w:rPr>
            </w:pPr>
            <w:r>
              <w:rPr>
                <w:rFonts w:hint="eastAsia"/>
                <w:color w:val="000000"/>
                <w:sz w:val="24"/>
              </w:rPr>
              <w:t>赛晶（江苏）视觉技术有限公司</w:t>
            </w:r>
            <w:r>
              <w:rPr>
                <w:color w:val="000000"/>
                <w:sz w:val="24"/>
              </w:rPr>
              <w:t>是</w:t>
            </w:r>
            <w:r>
              <w:rPr>
                <w:rFonts w:hint="eastAsia"/>
                <w:color w:val="000000"/>
                <w:sz w:val="24"/>
              </w:rPr>
              <w:t>电子专用材料研发、电子器件模组</w:t>
            </w:r>
            <w:r>
              <w:rPr>
                <w:color w:val="000000"/>
                <w:sz w:val="24"/>
              </w:rPr>
              <w:t>等相关产品</w:t>
            </w:r>
            <w:r>
              <w:rPr>
                <w:rFonts w:hint="eastAsia"/>
                <w:color w:val="000000"/>
                <w:sz w:val="24"/>
              </w:rPr>
              <w:t>生产</w:t>
            </w:r>
            <w:r>
              <w:rPr>
                <w:color w:val="000000"/>
                <w:sz w:val="24"/>
              </w:rPr>
              <w:t>高科技企业，建立于</w:t>
            </w:r>
            <w:r>
              <w:rPr>
                <w:rFonts w:hint="eastAsia"/>
                <w:color w:val="000000"/>
                <w:sz w:val="24"/>
              </w:rPr>
              <w:t>2022</w:t>
            </w:r>
            <w:r>
              <w:rPr>
                <w:color w:val="000000"/>
                <w:sz w:val="24"/>
              </w:rPr>
              <w:t>年</w:t>
            </w:r>
            <w:r>
              <w:rPr>
                <w:rFonts w:hint="eastAsia"/>
                <w:color w:val="000000"/>
                <w:sz w:val="24"/>
              </w:rPr>
              <w:t>12</w:t>
            </w:r>
            <w:r>
              <w:rPr>
                <w:color w:val="000000"/>
                <w:sz w:val="24"/>
              </w:rPr>
              <w:t>月</w:t>
            </w:r>
            <w:r>
              <w:rPr>
                <w:rFonts w:hint="eastAsia"/>
                <w:color w:val="000000"/>
                <w:sz w:val="24"/>
              </w:rPr>
              <w:t>，购买</w:t>
            </w:r>
            <w:r>
              <w:rPr>
                <w:color w:val="000000"/>
                <w:sz w:val="24"/>
              </w:rPr>
              <w:t>苏州</w:t>
            </w:r>
            <w:r>
              <w:rPr>
                <w:rFonts w:hint="eastAsia"/>
                <w:color w:val="000000"/>
                <w:sz w:val="24"/>
              </w:rPr>
              <w:t>高新区东渚街道金沙江路158号12幢</w:t>
            </w:r>
            <w:r>
              <w:rPr>
                <w:rFonts w:hint="eastAsia"/>
                <w:color w:val="000000"/>
                <w:sz w:val="24"/>
                <w:lang w:val="en-US" w:eastAsia="zh-CN"/>
              </w:rPr>
              <w:t>202室、</w:t>
            </w:r>
            <w:r>
              <w:rPr>
                <w:rFonts w:hint="eastAsia"/>
                <w:color w:val="000000"/>
                <w:sz w:val="24"/>
              </w:rPr>
              <w:t>302</w:t>
            </w:r>
            <w:r>
              <w:rPr>
                <w:rFonts w:hint="eastAsia"/>
                <w:color w:val="000000"/>
                <w:sz w:val="24"/>
                <w:lang w:val="en-US" w:eastAsia="zh-CN"/>
              </w:rPr>
              <w:t>室和402室</w:t>
            </w:r>
            <w:r>
              <w:rPr>
                <w:rFonts w:hint="eastAsia"/>
                <w:color w:val="000000"/>
                <w:sz w:val="24"/>
              </w:rPr>
              <w:t>三层已建厂房，</w:t>
            </w:r>
            <w:r>
              <w:rPr>
                <w:color w:val="000000"/>
                <w:sz w:val="24"/>
              </w:rPr>
              <w:t>建筑面积</w:t>
            </w:r>
            <w:r>
              <w:rPr>
                <w:rFonts w:hint="eastAsia"/>
                <w:color w:val="000000"/>
                <w:sz w:val="24"/>
              </w:rPr>
              <w:t>10197</w:t>
            </w:r>
            <w:r>
              <w:rPr>
                <w:color w:val="000000"/>
                <w:sz w:val="24"/>
              </w:rPr>
              <w:t>m</w:t>
            </w:r>
            <w:r>
              <w:rPr>
                <w:color w:val="000000"/>
                <w:sz w:val="24"/>
                <w:vertAlign w:val="superscript"/>
              </w:rPr>
              <w:t>2</w:t>
            </w:r>
            <w:r>
              <w:rPr>
                <w:color w:val="000000"/>
                <w:sz w:val="24"/>
              </w:rPr>
              <w:t>，职工人数</w:t>
            </w:r>
            <w:r>
              <w:rPr>
                <w:rFonts w:hint="eastAsia"/>
                <w:color w:val="000000"/>
                <w:sz w:val="24"/>
              </w:rPr>
              <w:t>200</w:t>
            </w:r>
            <w:r>
              <w:rPr>
                <w:color w:val="000000"/>
                <w:sz w:val="24"/>
              </w:rPr>
              <w:t>人。</w:t>
            </w:r>
          </w:p>
          <w:p>
            <w:pPr>
              <w:spacing w:line="360" w:lineRule="auto"/>
              <w:ind w:firstLine="480"/>
              <w:jc w:val="left"/>
              <w:rPr>
                <w:color w:val="000000"/>
                <w:sz w:val="24"/>
              </w:rPr>
            </w:pPr>
            <w:r>
              <w:rPr>
                <w:color w:val="000000"/>
                <w:sz w:val="24"/>
              </w:rPr>
              <w:t>为顺应市场的需求和适应公司自身的发展，公司拟投资</w:t>
            </w:r>
            <w:r>
              <w:rPr>
                <w:rFonts w:hint="eastAsia"/>
                <w:color w:val="000000"/>
                <w:sz w:val="24"/>
              </w:rPr>
              <w:t>20000</w:t>
            </w:r>
            <w:r>
              <w:rPr>
                <w:color w:val="000000"/>
                <w:sz w:val="24"/>
              </w:rPr>
              <w:t>万元将</w:t>
            </w:r>
            <w:r>
              <w:rPr>
                <w:rFonts w:hint="eastAsia"/>
                <w:color w:val="000000"/>
                <w:sz w:val="24"/>
              </w:rPr>
              <w:t>新建</w:t>
            </w:r>
            <w:r>
              <w:rPr>
                <w:color w:val="000000"/>
                <w:sz w:val="24"/>
              </w:rPr>
              <w:t>“</w:t>
            </w:r>
            <w:r>
              <w:rPr>
                <w:rFonts w:hint="eastAsia"/>
                <w:color w:val="000000"/>
                <w:sz w:val="24"/>
              </w:rPr>
              <w:t>赛晶（江苏）视觉技术有限公司年产工业相机、人脸识别终端及智能机器人感知模组200万台新建项目</w:t>
            </w:r>
            <w:r>
              <w:rPr>
                <w:color w:val="000000"/>
                <w:sz w:val="24"/>
              </w:rPr>
              <w:t>”。目前该项目已取得备案文件，</w:t>
            </w:r>
            <w:r>
              <w:rPr>
                <w:rFonts w:hint="eastAsia"/>
                <w:color w:val="000000"/>
                <w:sz w:val="24"/>
              </w:rPr>
              <w:t>备案文号为</w:t>
            </w:r>
            <w:r>
              <w:rPr>
                <w:rFonts w:hint="eastAsia"/>
                <w:sz w:val="24"/>
                <w:lang w:eastAsia="zh-CN"/>
              </w:rPr>
              <w:t>苏高新项备〔2023〕567号</w:t>
            </w:r>
            <w:r>
              <w:rPr>
                <w:rFonts w:hint="eastAsia"/>
                <w:sz w:val="24"/>
              </w:rPr>
              <w:t>，</w:t>
            </w:r>
            <w:r>
              <w:rPr>
                <w:color w:val="000000"/>
                <w:sz w:val="24"/>
              </w:rPr>
              <w:t>项目代码</w:t>
            </w:r>
            <w:r>
              <w:rPr>
                <w:rFonts w:hint="eastAsia"/>
                <w:color w:val="000000"/>
                <w:sz w:val="24"/>
              </w:rPr>
              <w:t>为</w:t>
            </w:r>
            <w:r>
              <w:rPr>
                <w:rFonts w:hint="eastAsia"/>
                <w:sz w:val="24"/>
              </w:rPr>
              <w:t>2305-320505-89-01-330554</w:t>
            </w:r>
            <w:r>
              <w:rPr>
                <w:color w:val="000000"/>
                <w:sz w:val="24"/>
              </w:rPr>
              <w:t>。</w:t>
            </w:r>
          </w:p>
          <w:p>
            <w:pPr>
              <w:tabs>
                <w:tab w:val="left" w:pos="0"/>
              </w:tabs>
              <w:spacing w:line="360" w:lineRule="auto"/>
              <w:ind w:firstLine="480" w:firstLineChars="200"/>
              <w:jc w:val="left"/>
              <w:rPr>
                <w:color w:val="000000"/>
                <w:sz w:val="24"/>
              </w:rPr>
            </w:pPr>
            <w:r>
              <w:rPr>
                <w:rFonts w:hint="eastAsia"/>
                <w:color w:val="000000"/>
                <w:sz w:val="24"/>
              </w:rPr>
              <w:t>据《中华人民共和国环境影响评价法》（中华人民共和国主席令第七十七条）、《建设项目环境保护管理条例》（国务院令第682号）、《建设项目环境影响评价分类管理名录》（2021版）、《建设项目环境影响评价文件分级审批规定》（中华人民共和国环境保护部令第5号）及其它相关保护法规政策的要求，本项目属于三十六、计算机、通信和其他电子设备制造业39”中“81、其他电子设备制造398”中“印刷线路板制造；电子专用材料制造（电子化工材料制造除外）；使用有机溶剂的；有酸洗的以上均不含仅分割、焊接、组装的”，应编制环境影响报告表。苏州山水行环保科技有限公司</w:t>
            </w:r>
            <w:r>
              <w:rPr>
                <w:color w:val="000000"/>
                <w:sz w:val="24"/>
              </w:rPr>
              <w:t>接受委托后，在现场勘察、调查的基础上，通过对有关资料的调研、整理、分析、计算，编制了本项目的环境影响报告表，报请审批。</w:t>
            </w:r>
          </w:p>
          <w:p>
            <w:pPr>
              <w:tabs>
                <w:tab w:val="left" w:pos="0"/>
              </w:tabs>
              <w:spacing w:line="360" w:lineRule="auto"/>
              <w:jc w:val="left"/>
              <w:rPr>
                <w:color w:val="000000"/>
                <w:sz w:val="24"/>
                <w:szCs w:val="21"/>
              </w:rPr>
            </w:pPr>
            <w:r>
              <w:rPr>
                <w:b/>
                <w:color w:val="000000"/>
                <w:sz w:val="24"/>
              </w:rPr>
              <w:t>2.2项目概况</w:t>
            </w:r>
          </w:p>
          <w:p>
            <w:pPr>
              <w:spacing w:line="360" w:lineRule="auto"/>
              <w:ind w:firstLine="480" w:firstLineChars="200"/>
              <w:rPr>
                <w:color w:val="000000"/>
                <w:sz w:val="24"/>
                <w:szCs w:val="21"/>
              </w:rPr>
            </w:pPr>
            <w:r>
              <w:rPr>
                <w:color w:val="000000"/>
                <w:sz w:val="24"/>
                <w:szCs w:val="21"/>
              </w:rPr>
              <w:t>项目名称：</w:t>
            </w:r>
            <w:r>
              <w:rPr>
                <w:rFonts w:hint="eastAsia"/>
                <w:color w:val="000000"/>
                <w:sz w:val="24"/>
              </w:rPr>
              <w:t>赛晶（江苏）视觉技术有限公司年产工业相机、人脸识别终端及智能机器人感知模组200万台新建项目</w:t>
            </w:r>
            <w:r>
              <w:rPr>
                <w:color w:val="000000"/>
                <w:sz w:val="24"/>
                <w:szCs w:val="21"/>
              </w:rPr>
              <w:t>；</w:t>
            </w:r>
          </w:p>
          <w:p>
            <w:pPr>
              <w:spacing w:line="360" w:lineRule="auto"/>
              <w:ind w:firstLine="480" w:firstLineChars="200"/>
              <w:rPr>
                <w:color w:val="000000"/>
                <w:sz w:val="24"/>
                <w:szCs w:val="21"/>
              </w:rPr>
            </w:pPr>
            <w:r>
              <w:rPr>
                <w:color w:val="000000"/>
                <w:sz w:val="24"/>
                <w:szCs w:val="21"/>
              </w:rPr>
              <w:t>建设单位：</w:t>
            </w:r>
            <w:r>
              <w:rPr>
                <w:rFonts w:hint="eastAsia"/>
                <w:color w:val="000000"/>
                <w:sz w:val="24"/>
              </w:rPr>
              <w:t>赛晶（江苏）视觉技术有限公司</w:t>
            </w:r>
            <w:r>
              <w:rPr>
                <w:color w:val="000000"/>
                <w:sz w:val="24"/>
                <w:szCs w:val="21"/>
              </w:rPr>
              <w:t>；</w:t>
            </w:r>
          </w:p>
          <w:p>
            <w:pPr>
              <w:spacing w:line="360" w:lineRule="auto"/>
              <w:ind w:left="1679" w:leftChars="228" w:hanging="1200" w:hangingChars="500"/>
              <w:rPr>
                <w:color w:val="000000"/>
                <w:sz w:val="24"/>
                <w:szCs w:val="21"/>
              </w:rPr>
            </w:pPr>
            <w:r>
              <w:rPr>
                <w:color w:val="000000"/>
                <w:sz w:val="24"/>
                <w:szCs w:val="21"/>
              </w:rPr>
              <w:t>建设地点：苏州高新区</w:t>
            </w:r>
            <w:r>
              <w:rPr>
                <w:rFonts w:hint="eastAsia"/>
                <w:color w:val="000000"/>
                <w:sz w:val="24"/>
              </w:rPr>
              <w:t>东渚街道金沙江路158号12幢</w:t>
            </w:r>
            <w:r>
              <w:rPr>
                <w:rFonts w:hint="eastAsia"/>
                <w:color w:val="000000"/>
                <w:sz w:val="24"/>
                <w:lang w:val="en-US" w:eastAsia="zh-CN"/>
              </w:rPr>
              <w:t>202室、</w:t>
            </w:r>
            <w:r>
              <w:rPr>
                <w:rFonts w:hint="eastAsia"/>
                <w:color w:val="000000"/>
                <w:sz w:val="24"/>
              </w:rPr>
              <w:t>302室</w:t>
            </w:r>
            <w:r>
              <w:rPr>
                <w:rFonts w:hint="eastAsia"/>
                <w:color w:val="000000"/>
                <w:sz w:val="24"/>
                <w:lang w:val="en-US" w:eastAsia="zh-CN"/>
              </w:rPr>
              <w:t>和402室</w:t>
            </w:r>
            <w:r>
              <w:rPr>
                <w:color w:val="000000"/>
                <w:sz w:val="24"/>
                <w:szCs w:val="21"/>
              </w:rPr>
              <w:t>；</w:t>
            </w:r>
          </w:p>
          <w:p>
            <w:pPr>
              <w:spacing w:line="360" w:lineRule="auto"/>
              <w:ind w:firstLine="480" w:firstLineChars="200"/>
              <w:rPr>
                <w:color w:val="000000"/>
                <w:sz w:val="24"/>
                <w:szCs w:val="21"/>
              </w:rPr>
            </w:pPr>
            <w:r>
              <w:rPr>
                <w:color w:val="000000"/>
                <w:sz w:val="24"/>
                <w:szCs w:val="21"/>
              </w:rPr>
              <w:t>建设性质：</w:t>
            </w:r>
            <w:r>
              <w:rPr>
                <w:rFonts w:hint="eastAsia"/>
                <w:color w:val="000000"/>
                <w:sz w:val="24"/>
                <w:szCs w:val="21"/>
              </w:rPr>
              <w:t>新建</w:t>
            </w:r>
            <w:r>
              <w:rPr>
                <w:color w:val="000000"/>
                <w:sz w:val="24"/>
                <w:szCs w:val="21"/>
              </w:rPr>
              <w:t>；</w:t>
            </w:r>
          </w:p>
          <w:p>
            <w:pPr>
              <w:spacing w:line="360" w:lineRule="auto"/>
              <w:ind w:firstLine="480" w:firstLineChars="200"/>
              <w:rPr>
                <w:color w:val="000000"/>
                <w:sz w:val="24"/>
                <w:szCs w:val="21"/>
              </w:rPr>
            </w:pPr>
            <w:r>
              <w:rPr>
                <w:color w:val="000000"/>
                <w:sz w:val="24"/>
                <w:szCs w:val="21"/>
              </w:rPr>
              <w:t>项目投资情况：总投资</w:t>
            </w:r>
            <w:r>
              <w:rPr>
                <w:rFonts w:hint="eastAsia"/>
                <w:color w:val="000000"/>
                <w:sz w:val="24"/>
                <w:szCs w:val="21"/>
              </w:rPr>
              <w:t>20</w:t>
            </w:r>
            <w:r>
              <w:rPr>
                <w:color w:val="000000"/>
                <w:sz w:val="24"/>
                <w:szCs w:val="21"/>
              </w:rPr>
              <w:t>000万元，其中环保投资</w:t>
            </w:r>
            <w:r>
              <w:rPr>
                <w:rFonts w:hint="eastAsia"/>
                <w:color w:val="000000"/>
                <w:sz w:val="24"/>
                <w:szCs w:val="21"/>
              </w:rPr>
              <w:t>2</w:t>
            </w:r>
            <w:r>
              <w:rPr>
                <w:color w:val="000000"/>
                <w:sz w:val="24"/>
                <w:szCs w:val="21"/>
              </w:rPr>
              <w:t>00万元，占总投资的1%。</w:t>
            </w:r>
          </w:p>
          <w:p>
            <w:pPr>
              <w:spacing w:line="360" w:lineRule="auto"/>
              <w:ind w:firstLine="480" w:firstLineChars="200"/>
              <w:rPr>
                <w:color w:val="000000"/>
                <w:sz w:val="24"/>
                <w:szCs w:val="21"/>
              </w:rPr>
            </w:pPr>
            <w:r>
              <w:rPr>
                <w:color w:val="000000"/>
                <w:sz w:val="24"/>
                <w:szCs w:val="21"/>
              </w:rPr>
              <w:t>占地面积：建筑面积</w:t>
            </w:r>
            <w:r>
              <w:rPr>
                <w:rFonts w:hint="eastAsia"/>
                <w:color w:val="000000"/>
                <w:sz w:val="24"/>
              </w:rPr>
              <w:t>10197</w:t>
            </w:r>
            <w:r>
              <w:rPr>
                <w:color w:val="000000"/>
                <w:sz w:val="24"/>
                <w:szCs w:val="21"/>
              </w:rPr>
              <w:t>m</w:t>
            </w:r>
            <w:r>
              <w:rPr>
                <w:color w:val="000000"/>
                <w:sz w:val="24"/>
                <w:szCs w:val="21"/>
                <w:vertAlign w:val="superscript"/>
              </w:rPr>
              <w:t>2</w:t>
            </w:r>
            <w:r>
              <w:rPr>
                <w:color w:val="000000"/>
                <w:sz w:val="24"/>
                <w:szCs w:val="21"/>
              </w:rPr>
              <w:t>；</w:t>
            </w:r>
          </w:p>
          <w:p>
            <w:pPr>
              <w:spacing w:line="360" w:lineRule="auto"/>
              <w:ind w:firstLine="480" w:firstLineChars="200"/>
              <w:jc w:val="left"/>
              <w:rPr>
                <w:color w:val="000000"/>
                <w:sz w:val="24"/>
                <w:szCs w:val="21"/>
              </w:rPr>
            </w:pPr>
            <w:r>
              <w:rPr>
                <w:color w:val="000000"/>
                <w:sz w:val="24"/>
                <w:szCs w:val="21"/>
              </w:rPr>
              <w:t>建设内容：</w:t>
            </w:r>
            <w:r>
              <w:rPr>
                <w:rFonts w:hint="eastAsia"/>
                <w:color w:val="000000"/>
                <w:sz w:val="24"/>
              </w:rPr>
              <w:t>年产工业相机、人脸识别终端及智能机器人感知模组200万台</w:t>
            </w:r>
            <w:r>
              <w:rPr>
                <w:color w:val="000000"/>
                <w:sz w:val="24"/>
                <w:szCs w:val="21"/>
              </w:rPr>
              <w:t>。</w:t>
            </w:r>
          </w:p>
          <w:p>
            <w:pPr>
              <w:spacing w:line="360" w:lineRule="auto"/>
              <w:ind w:firstLine="480" w:firstLineChars="200"/>
              <w:jc w:val="left"/>
              <w:rPr>
                <w:color w:val="000000"/>
                <w:sz w:val="24"/>
              </w:rPr>
            </w:pPr>
            <w:r>
              <w:rPr>
                <w:color w:val="000000"/>
                <w:sz w:val="24"/>
                <w:szCs w:val="21"/>
              </w:rPr>
              <w:t>工作制度：</w:t>
            </w:r>
            <w:r>
              <w:rPr>
                <w:rFonts w:hint="eastAsia"/>
                <w:color w:val="000000"/>
                <w:sz w:val="24"/>
              </w:rPr>
              <w:t>公司实行8小时3班制，年工作300天，年工作7200h；本项目设置餐厅，工作餐为外卖公司配送，不设置浴室住宿等生活设施。</w:t>
            </w:r>
          </w:p>
          <w:p>
            <w:pPr>
              <w:tabs>
                <w:tab w:val="left" w:pos="0"/>
              </w:tabs>
              <w:spacing w:line="360" w:lineRule="auto"/>
              <w:jc w:val="left"/>
              <w:rPr>
                <w:b/>
                <w:color w:val="000000"/>
                <w:sz w:val="24"/>
              </w:rPr>
            </w:pPr>
            <w:r>
              <w:rPr>
                <w:b/>
                <w:color w:val="000000"/>
                <w:sz w:val="24"/>
              </w:rPr>
              <w:t>2.3产品方案</w:t>
            </w:r>
          </w:p>
          <w:p>
            <w:pPr>
              <w:tabs>
                <w:tab w:val="left" w:pos="0"/>
              </w:tabs>
              <w:spacing w:line="360" w:lineRule="auto"/>
              <w:ind w:firstLine="480" w:firstLineChars="200"/>
              <w:jc w:val="left"/>
              <w:rPr>
                <w:color w:val="000000"/>
                <w:sz w:val="24"/>
              </w:rPr>
            </w:pPr>
            <w:r>
              <w:rPr>
                <w:color w:val="000000"/>
                <w:sz w:val="24"/>
              </w:rPr>
              <w:t>本项目产品方案详见表2-1。</w:t>
            </w:r>
          </w:p>
          <w:p>
            <w:pPr>
              <w:tabs>
                <w:tab w:val="left" w:pos="1159"/>
              </w:tabs>
              <w:spacing w:before="60"/>
              <w:jc w:val="center"/>
              <w:rPr>
                <w:b/>
                <w:color w:val="000000"/>
                <w:sz w:val="24"/>
              </w:rPr>
            </w:pPr>
            <w:r>
              <w:rPr>
                <w:b/>
                <w:color w:val="000000"/>
                <w:sz w:val="24"/>
              </w:rPr>
              <w:t>表2-1  项目产品方案</w:t>
            </w:r>
          </w:p>
          <w:tbl>
            <w:tblPr>
              <w:tblStyle w:val="2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64"/>
              <w:gridCol w:w="1591"/>
              <w:gridCol w:w="3548"/>
              <w:gridCol w:w="8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0" w:type="pct"/>
                  <w:vAlign w:val="center"/>
                </w:tcPr>
                <w:p>
                  <w:pPr>
                    <w:snapToGrid w:val="0"/>
                    <w:jc w:val="center"/>
                    <w:rPr>
                      <w:b/>
                      <w:bCs/>
                      <w:color w:val="000000"/>
                      <w:szCs w:val="21"/>
                    </w:rPr>
                  </w:pPr>
                  <w:r>
                    <w:rPr>
                      <w:rFonts w:hint="eastAsia"/>
                      <w:b/>
                      <w:bCs/>
                      <w:color w:val="000000"/>
                      <w:szCs w:val="21"/>
                    </w:rPr>
                    <w:t>工程名称（车间、生产装置或生产线）</w:t>
                  </w:r>
                </w:p>
              </w:tc>
              <w:tc>
                <w:tcPr>
                  <w:tcW w:w="937" w:type="pct"/>
                  <w:vAlign w:val="center"/>
                </w:tcPr>
                <w:p>
                  <w:pPr>
                    <w:snapToGrid w:val="0"/>
                    <w:jc w:val="center"/>
                    <w:rPr>
                      <w:b/>
                      <w:bCs/>
                      <w:color w:val="000000"/>
                      <w:szCs w:val="21"/>
                    </w:rPr>
                  </w:pPr>
                  <w:r>
                    <w:rPr>
                      <w:rFonts w:hint="eastAsia"/>
                      <w:b/>
                      <w:bCs/>
                      <w:color w:val="000000"/>
                      <w:szCs w:val="21"/>
                    </w:rPr>
                    <w:t>产品名称</w:t>
                  </w:r>
                </w:p>
              </w:tc>
              <w:tc>
                <w:tcPr>
                  <w:tcW w:w="2088" w:type="pct"/>
                  <w:vAlign w:val="center"/>
                </w:tcPr>
                <w:p>
                  <w:pPr>
                    <w:snapToGrid w:val="0"/>
                    <w:jc w:val="center"/>
                    <w:rPr>
                      <w:b/>
                      <w:bCs/>
                      <w:color w:val="000000"/>
                      <w:szCs w:val="21"/>
                    </w:rPr>
                  </w:pPr>
                  <w:r>
                    <w:rPr>
                      <w:rFonts w:hint="eastAsia"/>
                      <w:b/>
                      <w:bCs/>
                      <w:color w:val="000000"/>
                      <w:szCs w:val="21"/>
                    </w:rPr>
                    <w:t>设计能力*</w:t>
                  </w:r>
                </w:p>
              </w:tc>
              <w:tc>
                <w:tcPr>
                  <w:tcW w:w="523" w:type="pct"/>
                  <w:vAlign w:val="center"/>
                </w:tcPr>
                <w:p>
                  <w:pPr>
                    <w:snapToGrid w:val="0"/>
                    <w:jc w:val="center"/>
                    <w:rPr>
                      <w:b/>
                      <w:bCs/>
                      <w:color w:val="000000"/>
                      <w:szCs w:val="21"/>
                    </w:rPr>
                  </w:pPr>
                  <w:r>
                    <w:rPr>
                      <w:rFonts w:hint="eastAsia"/>
                      <w:b/>
                      <w:bCs/>
                      <w:color w:val="000000"/>
                      <w:szCs w:val="21"/>
                    </w:rPr>
                    <w:t>年运行时数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0" w:type="pct"/>
                  <w:vMerge w:val="restart"/>
                  <w:vAlign w:val="center"/>
                </w:tcPr>
                <w:p>
                  <w:pPr>
                    <w:jc w:val="center"/>
                    <w:rPr>
                      <w:color w:val="000000"/>
                      <w:szCs w:val="21"/>
                    </w:rPr>
                  </w:pPr>
                  <w:r>
                    <w:rPr>
                      <w:rFonts w:hint="eastAsia"/>
                      <w:color w:val="000000"/>
                      <w:szCs w:val="21"/>
                    </w:rPr>
                    <w:t>工业相机、人脸识别终端、智能机器人感知模组项目</w:t>
                  </w:r>
                </w:p>
              </w:tc>
              <w:tc>
                <w:tcPr>
                  <w:tcW w:w="937" w:type="pct"/>
                  <w:vAlign w:val="center"/>
                </w:tcPr>
                <w:p>
                  <w:pPr>
                    <w:snapToGrid w:val="0"/>
                    <w:jc w:val="center"/>
                    <w:rPr>
                      <w:color w:val="000000"/>
                      <w:szCs w:val="21"/>
                    </w:rPr>
                  </w:pPr>
                  <w:r>
                    <w:rPr>
                      <w:rFonts w:hint="eastAsia"/>
                      <w:color w:val="000000"/>
                      <w:szCs w:val="21"/>
                    </w:rPr>
                    <w:t>工业相机</w:t>
                  </w:r>
                </w:p>
              </w:tc>
              <w:tc>
                <w:tcPr>
                  <w:tcW w:w="2088" w:type="pct"/>
                  <w:vAlign w:val="center"/>
                </w:tcPr>
                <w:p>
                  <w:pPr>
                    <w:jc w:val="center"/>
                    <w:rPr>
                      <w:color w:val="000000"/>
                      <w:szCs w:val="21"/>
                    </w:rPr>
                  </w:pPr>
                  <w:r>
                    <w:rPr>
                      <w:rFonts w:hint="eastAsia"/>
                      <w:color w:val="000000"/>
                      <w:szCs w:val="21"/>
                    </w:rPr>
                    <w:t>50万台/a</w:t>
                  </w:r>
                </w:p>
              </w:tc>
              <w:tc>
                <w:tcPr>
                  <w:tcW w:w="523" w:type="pct"/>
                  <w:vMerge w:val="restart"/>
                  <w:vAlign w:val="center"/>
                </w:tcPr>
                <w:p>
                  <w:pPr>
                    <w:jc w:val="center"/>
                    <w:rPr>
                      <w:color w:val="000000"/>
                      <w:szCs w:val="21"/>
                    </w:rPr>
                  </w:pPr>
                  <w:r>
                    <w:rPr>
                      <w:rFonts w:hint="eastAsia"/>
                      <w:color w:val="000000"/>
                      <w:szCs w:val="21"/>
                    </w:rPr>
                    <w:t>72</w:t>
                  </w:r>
                  <w:r>
                    <w:rPr>
                      <w:color w:val="000000"/>
                      <w:szCs w:val="21"/>
                    </w:rPr>
                    <w:t>00h/a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0" w:type="pct"/>
                  <w:vMerge w:val="continue"/>
                  <w:vAlign w:val="center"/>
                </w:tcPr>
                <w:p>
                  <w:pPr>
                    <w:jc w:val="center"/>
                    <w:rPr>
                      <w:color w:val="000000"/>
                      <w:szCs w:val="21"/>
                    </w:rPr>
                  </w:pPr>
                </w:p>
              </w:tc>
              <w:tc>
                <w:tcPr>
                  <w:tcW w:w="937" w:type="pct"/>
                  <w:vAlign w:val="center"/>
                </w:tcPr>
                <w:p>
                  <w:pPr>
                    <w:snapToGrid w:val="0"/>
                    <w:jc w:val="center"/>
                    <w:rPr>
                      <w:color w:val="000000"/>
                      <w:szCs w:val="21"/>
                    </w:rPr>
                  </w:pPr>
                  <w:r>
                    <w:rPr>
                      <w:rFonts w:hint="eastAsia"/>
                      <w:color w:val="000000"/>
                      <w:szCs w:val="21"/>
                    </w:rPr>
                    <w:t>人脸识别终端</w:t>
                  </w:r>
                </w:p>
              </w:tc>
              <w:tc>
                <w:tcPr>
                  <w:tcW w:w="2088" w:type="pct"/>
                  <w:vAlign w:val="center"/>
                </w:tcPr>
                <w:p>
                  <w:pPr>
                    <w:jc w:val="center"/>
                    <w:rPr>
                      <w:color w:val="000000"/>
                      <w:szCs w:val="21"/>
                    </w:rPr>
                  </w:pPr>
                  <w:r>
                    <w:rPr>
                      <w:rFonts w:hint="eastAsia"/>
                      <w:color w:val="000000"/>
                      <w:szCs w:val="21"/>
                    </w:rPr>
                    <w:t>100万台/a</w:t>
                  </w:r>
                </w:p>
              </w:tc>
              <w:tc>
                <w:tcPr>
                  <w:tcW w:w="523" w:type="pct"/>
                  <w:vMerge w:val="continue"/>
                  <w:vAlign w:val="center"/>
                </w:tcPr>
                <w:p>
                  <w:pPr>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0" w:type="pct"/>
                  <w:vMerge w:val="continue"/>
                  <w:vAlign w:val="center"/>
                </w:tcPr>
                <w:p>
                  <w:pPr>
                    <w:jc w:val="center"/>
                    <w:rPr>
                      <w:color w:val="000000"/>
                      <w:szCs w:val="21"/>
                    </w:rPr>
                  </w:pPr>
                </w:p>
              </w:tc>
              <w:tc>
                <w:tcPr>
                  <w:tcW w:w="937" w:type="pct"/>
                  <w:vAlign w:val="center"/>
                </w:tcPr>
                <w:p>
                  <w:pPr>
                    <w:snapToGrid w:val="0"/>
                    <w:jc w:val="center"/>
                    <w:rPr>
                      <w:color w:val="000000"/>
                      <w:szCs w:val="21"/>
                    </w:rPr>
                  </w:pPr>
                  <w:r>
                    <w:rPr>
                      <w:rFonts w:hint="eastAsia"/>
                      <w:color w:val="000000"/>
                      <w:szCs w:val="21"/>
                    </w:rPr>
                    <w:t>智能机器人</w:t>
                  </w:r>
                </w:p>
              </w:tc>
              <w:tc>
                <w:tcPr>
                  <w:tcW w:w="2088" w:type="pct"/>
                  <w:vAlign w:val="center"/>
                </w:tcPr>
                <w:p>
                  <w:pPr>
                    <w:jc w:val="center"/>
                    <w:rPr>
                      <w:color w:val="000000"/>
                      <w:szCs w:val="21"/>
                    </w:rPr>
                  </w:pPr>
                  <w:r>
                    <w:rPr>
                      <w:rFonts w:hint="eastAsia"/>
                      <w:color w:val="000000"/>
                      <w:szCs w:val="21"/>
                    </w:rPr>
                    <w:t>50万台/a</w:t>
                  </w:r>
                </w:p>
              </w:tc>
              <w:tc>
                <w:tcPr>
                  <w:tcW w:w="523" w:type="pct"/>
                  <w:vMerge w:val="continue"/>
                  <w:vAlign w:val="center"/>
                </w:tcPr>
                <w:p>
                  <w:pPr>
                    <w:jc w:val="center"/>
                    <w:rPr>
                      <w:color w:val="000000"/>
                      <w:szCs w:val="21"/>
                    </w:rPr>
                  </w:pPr>
                </w:p>
              </w:tc>
            </w:tr>
          </w:tbl>
          <w:p>
            <w:pPr>
              <w:tabs>
                <w:tab w:val="left" w:pos="0"/>
              </w:tabs>
              <w:spacing w:line="360" w:lineRule="auto"/>
              <w:jc w:val="left"/>
              <w:rPr>
                <w:b/>
                <w:color w:val="000000"/>
                <w:sz w:val="24"/>
              </w:rPr>
            </w:pPr>
            <w:r>
              <w:rPr>
                <w:b/>
                <w:color w:val="000000"/>
                <w:sz w:val="24"/>
              </w:rPr>
              <w:t>2.4项目建设内容</w:t>
            </w:r>
          </w:p>
          <w:p>
            <w:pPr>
              <w:tabs>
                <w:tab w:val="left" w:pos="0"/>
              </w:tabs>
              <w:spacing w:line="360" w:lineRule="auto"/>
              <w:ind w:firstLine="480" w:firstLineChars="200"/>
              <w:jc w:val="left"/>
              <w:rPr>
                <w:color w:val="000000"/>
                <w:sz w:val="24"/>
              </w:rPr>
            </w:pPr>
            <w:r>
              <w:rPr>
                <w:color w:val="000000"/>
                <w:sz w:val="24"/>
              </w:rPr>
              <w:t>本项目主要建设内容详见表2-2。</w:t>
            </w:r>
          </w:p>
          <w:p>
            <w:pPr>
              <w:tabs>
                <w:tab w:val="left" w:pos="1159"/>
              </w:tabs>
              <w:spacing w:before="60"/>
              <w:jc w:val="center"/>
              <w:rPr>
                <w:b/>
                <w:color w:val="000000"/>
                <w:sz w:val="24"/>
              </w:rPr>
            </w:pPr>
            <w:r>
              <w:rPr>
                <w:b/>
                <w:color w:val="000000"/>
                <w:sz w:val="24"/>
              </w:rPr>
              <w:t>表2-2  项目主要建设内容</w:t>
            </w:r>
          </w:p>
          <w:tbl>
            <w:tblPr>
              <w:tblStyle w:val="2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660"/>
              <w:gridCol w:w="1455"/>
              <w:gridCol w:w="2822"/>
              <w:gridCol w:w="25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98" w:type="pct"/>
                  <w:vAlign w:val="center"/>
                </w:tcPr>
                <w:p>
                  <w:pPr>
                    <w:spacing w:line="320" w:lineRule="exact"/>
                    <w:jc w:val="center"/>
                    <w:rPr>
                      <w:color w:val="000000"/>
                      <w:szCs w:val="21"/>
                    </w:rPr>
                  </w:pPr>
                  <w:r>
                    <w:rPr>
                      <w:color w:val="000000"/>
                      <w:szCs w:val="21"/>
                    </w:rPr>
                    <w:t>分类</w:t>
                  </w:r>
                </w:p>
              </w:tc>
              <w:tc>
                <w:tcPr>
                  <w:tcW w:w="1246" w:type="pct"/>
                  <w:gridSpan w:val="2"/>
                  <w:vAlign w:val="center"/>
                </w:tcPr>
                <w:p>
                  <w:pPr>
                    <w:spacing w:line="320" w:lineRule="exact"/>
                    <w:jc w:val="center"/>
                    <w:rPr>
                      <w:color w:val="000000"/>
                      <w:szCs w:val="21"/>
                    </w:rPr>
                  </w:pPr>
                  <w:r>
                    <w:rPr>
                      <w:color w:val="000000"/>
                      <w:szCs w:val="21"/>
                    </w:rPr>
                    <w:t>建设名称</w:t>
                  </w:r>
                </w:p>
              </w:tc>
              <w:tc>
                <w:tcPr>
                  <w:tcW w:w="1661" w:type="pct"/>
                  <w:vAlign w:val="center"/>
                </w:tcPr>
                <w:p>
                  <w:pPr>
                    <w:spacing w:line="320" w:lineRule="exact"/>
                    <w:jc w:val="center"/>
                    <w:rPr>
                      <w:color w:val="000000"/>
                      <w:szCs w:val="21"/>
                    </w:rPr>
                  </w:pPr>
                  <w:r>
                    <w:rPr>
                      <w:color w:val="000000"/>
                      <w:szCs w:val="21"/>
                    </w:rPr>
                    <w:t>设计能力</w:t>
                  </w:r>
                </w:p>
              </w:tc>
              <w:tc>
                <w:tcPr>
                  <w:tcW w:w="1493" w:type="pct"/>
                  <w:vAlign w:val="center"/>
                </w:tcPr>
                <w:p>
                  <w:pPr>
                    <w:spacing w:line="320" w:lineRule="exact"/>
                    <w:jc w:val="center"/>
                    <w:rPr>
                      <w:color w:val="000000"/>
                      <w:szCs w:val="21"/>
                    </w:rPr>
                  </w:pPr>
                  <w:r>
                    <w:rPr>
                      <w:color w:val="000000"/>
                      <w:szCs w:val="21"/>
                    </w:rPr>
                    <w:t>备  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98" w:type="pct"/>
                  <w:vMerge w:val="restart"/>
                  <w:vAlign w:val="center"/>
                </w:tcPr>
                <w:p>
                  <w:pPr>
                    <w:spacing w:line="320" w:lineRule="exact"/>
                    <w:jc w:val="center"/>
                    <w:rPr>
                      <w:color w:val="000000"/>
                      <w:szCs w:val="21"/>
                    </w:rPr>
                  </w:pPr>
                  <w:r>
                    <w:rPr>
                      <w:rFonts w:hint="eastAsia"/>
                      <w:color w:val="000000"/>
                      <w:szCs w:val="21"/>
                    </w:rPr>
                    <w:t>主体工程</w:t>
                  </w:r>
                </w:p>
              </w:tc>
              <w:tc>
                <w:tcPr>
                  <w:tcW w:w="1246" w:type="pct"/>
                  <w:gridSpan w:val="2"/>
                  <w:vAlign w:val="center"/>
                </w:tcPr>
                <w:p>
                  <w:pPr>
                    <w:spacing w:line="320" w:lineRule="exact"/>
                    <w:jc w:val="center"/>
                    <w:rPr>
                      <w:color w:val="000000"/>
                      <w:szCs w:val="21"/>
                    </w:rPr>
                  </w:pPr>
                  <w:r>
                    <w:rPr>
                      <w:rFonts w:hint="eastAsia"/>
                      <w:color w:val="000000"/>
                      <w:szCs w:val="21"/>
                    </w:rPr>
                    <w:t>贴片车间</w:t>
                  </w:r>
                </w:p>
              </w:tc>
              <w:tc>
                <w:tcPr>
                  <w:tcW w:w="1661" w:type="pct"/>
                  <w:vAlign w:val="center"/>
                </w:tcPr>
                <w:p>
                  <w:pPr>
                    <w:spacing w:line="320" w:lineRule="exact"/>
                    <w:jc w:val="center"/>
                    <w:rPr>
                      <w:color w:val="000000"/>
                      <w:szCs w:val="21"/>
                    </w:rPr>
                  </w:pPr>
                  <w:r>
                    <w:rPr>
                      <w:rFonts w:hint="eastAsia"/>
                      <w:color w:val="000000"/>
                      <w:szCs w:val="21"/>
                    </w:rPr>
                    <w:t>3000m</w:t>
                  </w:r>
                  <w:r>
                    <w:rPr>
                      <w:rFonts w:hint="eastAsia"/>
                      <w:color w:val="000000"/>
                      <w:szCs w:val="21"/>
                      <w:vertAlign w:val="superscript"/>
                    </w:rPr>
                    <w:t>2</w:t>
                  </w:r>
                </w:p>
              </w:tc>
              <w:tc>
                <w:tcPr>
                  <w:tcW w:w="1493" w:type="pct"/>
                  <w:vAlign w:val="center"/>
                </w:tcPr>
                <w:p>
                  <w:pPr>
                    <w:spacing w:line="320" w:lineRule="exact"/>
                    <w:jc w:val="center"/>
                    <w:rPr>
                      <w:color w:val="000000"/>
                      <w:szCs w:val="21"/>
                    </w:rPr>
                  </w:pPr>
                  <w:r>
                    <w:rPr>
                      <w:rFonts w:hint="eastAsia"/>
                      <w:color w:val="000000"/>
                      <w:szCs w:val="21"/>
                    </w:rPr>
                    <w:t>丙类，二楼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rFonts w:hint="eastAsia"/>
                      <w:color w:val="000000"/>
                      <w:szCs w:val="21"/>
                    </w:rPr>
                    <w:t>洁净室</w:t>
                  </w:r>
                </w:p>
              </w:tc>
              <w:tc>
                <w:tcPr>
                  <w:tcW w:w="1661" w:type="pct"/>
                  <w:vAlign w:val="center"/>
                </w:tcPr>
                <w:p>
                  <w:pPr>
                    <w:spacing w:line="320" w:lineRule="exact"/>
                    <w:jc w:val="center"/>
                    <w:rPr>
                      <w:color w:val="000000"/>
                      <w:szCs w:val="21"/>
                    </w:rPr>
                  </w:pPr>
                  <w:r>
                    <w:rPr>
                      <w:rFonts w:hint="eastAsia"/>
                      <w:color w:val="000000"/>
                      <w:szCs w:val="21"/>
                    </w:rPr>
                    <w:t>250.7m</w:t>
                  </w:r>
                  <w:r>
                    <w:rPr>
                      <w:rFonts w:hint="eastAsia"/>
                      <w:color w:val="000000"/>
                      <w:szCs w:val="21"/>
                      <w:vertAlign w:val="superscript"/>
                    </w:rPr>
                    <w:t>2</w:t>
                  </w:r>
                </w:p>
              </w:tc>
              <w:tc>
                <w:tcPr>
                  <w:tcW w:w="1493" w:type="pct"/>
                  <w:vAlign w:val="center"/>
                </w:tcPr>
                <w:p>
                  <w:pPr>
                    <w:spacing w:line="320" w:lineRule="exact"/>
                    <w:jc w:val="center"/>
                    <w:rPr>
                      <w:color w:val="000000"/>
                      <w:szCs w:val="21"/>
                    </w:rPr>
                  </w:pPr>
                  <w:r>
                    <w:rPr>
                      <w:rFonts w:hint="eastAsia"/>
                      <w:color w:val="000000"/>
                      <w:szCs w:val="21"/>
                    </w:rPr>
                    <w:t>丙类，三楼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rFonts w:hint="eastAsia"/>
                      <w:color w:val="000000"/>
                      <w:szCs w:val="21"/>
                    </w:rPr>
                    <w:t>插件车间</w:t>
                  </w:r>
                </w:p>
              </w:tc>
              <w:tc>
                <w:tcPr>
                  <w:tcW w:w="1661" w:type="pct"/>
                  <w:vAlign w:val="center"/>
                </w:tcPr>
                <w:p>
                  <w:pPr>
                    <w:spacing w:line="320" w:lineRule="exact"/>
                    <w:jc w:val="center"/>
                    <w:rPr>
                      <w:color w:val="000000"/>
                      <w:szCs w:val="21"/>
                    </w:rPr>
                  </w:pPr>
                  <w:r>
                    <w:rPr>
                      <w:rFonts w:hint="eastAsia"/>
                      <w:color w:val="000000"/>
                      <w:szCs w:val="21"/>
                    </w:rPr>
                    <w:t>500m</w:t>
                  </w:r>
                  <w:r>
                    <w:rPr>
                      <w:rFonts w:hint="eastAsia"/>
                      <w:color w:val="000000"/>
                      <w:szCs w:val="21"/>
                      <w:vertAlign w:val="superscript"/>
                    </w:rPr>
                    <w:t>2</w:t>
                  </w:r>
                </w:p>
              </w:tc>
              <w:tc>
                <w:tcPr>
                  <w:tcW w:w="1493" w:type="pct"/>
                  <w:vAlign w:val="center"/>
                </w:tcPr>
                <w:p>
                  <w:pPr>
                    <w:spacing w:line="320" w:lineRule="exact"/>
                    <w:jc w:val="center"/>
                    <w:rPr>
                      <w:color w:val="000000"/>
                      <w:szCs w:val="21"/>
                    </w:rPr>
                  </w:pPr>
                  <w:r>
                    <w:rPr>
                      <w:rFonts w:hint="eastAsia"/>
                      <w:color w:val="000000"/>
                      <w:szCs w:val="21"/>
                    </w:rPr>
                    <w:t>丙类，四楼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rFonts w:hint="eastAsia"/>
                      <w:color w:val="000000"/>
                      <w:szCs w:val="21"/>
                    </w:rPr>
                    <w:t>自动涂覆车间</w:t>
                  </w:r>
                </w:p>
              </w:tc>
              <w:tc>
                <w:tcPr>
                  <w:tcW w:w="1661" w:type="pct"/>
                  <w:vAlign w:val="center"/>
                </w:tcPr>
                <w:p>
                  <w:pPr>
                    <w:spacing w:line="320" w:lineRule="exact"/>
                    <w:jc w:val="center"/>
                    <w:rPr>
                      <w:color w:val="000000"/>
                      <w:szCs w:val="21"/>
                    </w:rPr>
                  </w:pPr>
                  <w:r>
                    <w:rPr>
                      <w:rFonts w:hint="eastAsia"/>
                      <w:color w:val="000000"/>
                      <w:szCs w:val="21"/>
                    </w:rPr>
                    <w:t>500m</w:t>
                  </w:r>
                  <w:r>
                    <w:rPr>
                      <w:rFonts w:hint="eastAsia"/>
                      <w:color w:val="000000"/>
                      <w:szCs w:val="21"/>
                      <w:vertAlign w:val="superscript"/>
                    </w:rPr>
                    <w:t>2</w:t>
                  </w:r>
                </w:p>
              </w:tc>
              <w:tc>
                <w:tcPr>
                  <w:tcW w:w="1493" w:type="pct"/>
                  <w:vAlign w:val="center"/>
                </w:tcPr>
                <w:p>
                  <w:pPr>
                    <w:spacing w:line="320" w:lineRule="exact"/>
                    <w:jc w:val="center"/>
                    <w:rPr>
                      <w:color w:val="000000"/>
                      <w:szCs w:val="21"/>
                    </w:rPr>
                  </w:pPr>
                  <w:r>
                    <w:rPr>
                      <w:rFonts w:hint="eastAsia"/>
                      <w:color w:val="000000"/>
                      <w:szCs w:val="21"/>
                    </w:rPr>
                    <w:t>丙类，四楼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rFonts w:hint="eastAsia"/>
                      <w:color w:val="000000"/>
                      <w:szCs w:val="21"/>
                    </w:rPr>
                    <w:t>实验室</w:t>
                  </w:r>
                </w:p>
              </w:tc>
              <w:tc>
                <w:tcPr>
                  <w:tcW w:w="1661" w:type="pct"/>
                  <w:vAlign w:val="center"/>
                </w:tcPr>
                <w:p>
                  <w:pPr>
                    <w:spacing w:line="320" w:lineRule="exact"/>
                    <w:jc w:val="center"/>
                    <w:rPr>
                      <w:color w:val="000000"/>
                      <w:szCs w:val="21"/>
                    </w:rPr>
                  </w:pPr>
                  <w:r>
                    <w:rPr>
                      <w:rFonts w:hint="eastAsia"/>
                      <w:color w:val="000000"/>
                      <w:szCs w:val="21"/>
                    </w:rPr>
                    <w:t>60m</w:t>
                  </w:r>
                  <w:r>
                    <w:rPr>
                      <w:rFonts w:hint="eastAsia"/>
                      <w:color w:val="000000"/>
                      <w:szCs w:val="21"/>
                      <w:vertAlign w:val="superscript"/>
                    </w:rPr>
                    <w:t>2</w:t>
                  </w:r>
                </w:p>
              </w:tc>
              <w:tc>
                <w:tcPr>
                  <w:tcW w:w="1493" w:type="pct"/>
                  <w:vAlign w:val="center"/>
                </w:tcPr>
                <w:p>
                  <w:pPr>
                    <w:spacing w:line="320" w:lineRule="exact"/>
                    <w:jc w:val="center"/>
                    <w:rPr>
                      <w:color w:val="000000"/>
                      <w:szCs w:val="21"/>
                      <w:highlight w:val="none"/>
                    </w:rPr>
                  </w:pPr>
                  <w:r>
                    <w:rPr>
                      <w:rFonts w:hint="eastAsia"/>
                      <w:color w:val="000000"/>
                      <w:szCs w:val="21"/>
                      <w:highlight w:val="none"/>
                    </w:rPr>
                    <w:t>丙类，四楼（仅进行测量等试验）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restart"/>
                  <w:vAlign w:val="center"/>
                </w:tcPr>
                <w:p>
                  <w:pPr>
                    <w:spacing w:line="320" w:lineRule="exact"/>
                    <w:jc w:val="center"/>
                    <w:rPr>
                      <w:color w:val="000000"/>
                      <w:szCs w:val="21"/>
                    </w:rPr>
                  </w:pPr>
                  <w:r>
                    <w:rPr>
                      <w:color w:val="000000"/>
                      <w:szCs w:val="21"/>
                    </w:rPr>
                    <w:t>贮运工程</w:t>
                  </w:r>
                </w:p>
              </w:tc>
              <w:tc>
                <w:tcPr>
                  <w:tcW w:w="1246" w:type="pct"/>
                  <w:gridSpan w:val="2"/>
                  <w:vAlign w:val="center"/>
                </w:tcPr>
                <w:p>
                  <w:pPr>
                    <w:spacing w:line="320" w:lineRule="exact"/>
                    <w:jc w:val="center"/>
                    <w:rPr>
                      <w:color w:val="000000"/>
                      <w:szCs w:val="21"/>
                    </w:rPr>
                  </w:pPr>
                  <w:r>
                    <w:rPr>
                      <w:color w:val="000000"/>
                      <w:szCs w:val="21"/>
                    </w:rPr>
                    <w:t>原料仓库</w:t>
                  </w:r>
                </w:p>
              </w:tc>
              <w:tc>
                <w:tcPr>
                  <w:tcW w:w="1661" w:type="pct"/>
                  <w:vAlign w:val="center"/>
                </w:tcPr>
                <w:p>
                  <w:pPr>
                    <w:spacing w:line="320" w:lineRule="exact"/>
                    <w:rPr>
                      <w:color w:val="000000"/>
                      <w:szCs w:val="21"/>
                    </w:rPr>
                  </w:pPr>
                  <w:r>
                    <w:rPr>
                      <w:rFonts w:hint="eastAsia"/>
                      <w:color w:val="000000"/>
                      <w:szCs w:val="21"/>
                    </w:rPr>
                    <w:t xml:space="preserve">          500m</w:t>
                  </w:r>
                  <w:r>
                    <w:rPr>
                      <w:rFonts w:hint="eastAsia"/>
                      <w:color w:val="000000"/>
                      <w:szCs w:val="21"/>
                      <w:vertAlign w:val="superscript"/>
                    </w:rPr>
                    <w:t>2</w:t>
                  </w:r>
                </w:p>
              </w:tc>
              <w:tc>
                <w:tcPr>
                  <w:tcW w:w="1493" w:type="pct"/>
                  <w:vAlign w:val="center"/>
                </w:tcPr>
                <w:p>
                  <w:pPr>
                    <w:spacing w:line="320" w:lineRule="exact"/>
                    <w:jc w:val="center"/>
                    <w:rPr>
                      <w:color w:val="000000"/>
                      <w:szCs w:val="21"/>
                      <w:highlight w:val="none"/>
                    </w:rPr>
                  </w:pPr>
                  <w:r>
                    <w:rPr>
                      <w:rFonts w:hint="eastAsia"/>
                      <w:color w:val="000000"/>
                      <w:szCs w:val="21"/>
                      <w:highlight w:val="none"/>
                    </w:rPr>
                    <w:t>丙类，三楼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color w:val="000000"/>
                      <w:szCs w:val="21"/>
                    </w:rPr>
                    <w:t>产品仓库</w:t>
                  </w:r>
                </w:p>
              </w:tc>
              <w:tc>
                <w:tcPr>
                  <w:tcW w:w="1661" w:type="pct"/>
                  <w:vAlign w:val="center"/>
                </w:tcPr>
                <w:p>
                  <w:pPr>
                    <w:spacing w:line="320" w:lineRule="exact"/>
                    <w:jc w:val="center"/>
                    <w:rPr>
                      <w:color w:val="000000"/>
                      <w:szCs w:val="21"/>
                    </w:rPr>
                  </w:pPr>
                  <w:r>
                    <w:rPr>
                      <w:rFonts w:hint="eastAsia"/>
                      <w:color w:val="000000"/>
                      <w:szCs w:val="21"/>
                    </w:rPr>
                    <w:t>1000m</w:t>
                  </w:r>
                  <w:r>
                    <w:rPr>
                      <w:rFonts w:hint="eastAsia"/>
                      <w:color w:val="000000"/>
                      <w:szCs w:val="21"/>
                      <w:vertAlign w:val="superscript"/>
                    </w:rPr>
                    <w:t>2</w:t>
                  </w:r>
                </w:p>
              </w:tc>
              <w:tc>
                <w:tcPr>
                  <w:tcW w:w="1493" w:type="pct"/>
                  <w:vAlign w:val="center"/>
                </w:tcPr>
                <w:p>
                  <w:pPr>
                    <w:spacing w:line="320" w:lineRule="exact"/>
                    <w:jc w:val="center"/>
                    <w:rPr>
                      <w:color w:val="000000"/>
                      <w:szCs w:val="21"/>
                      <w:highlight w:val="none"/>
                    </w:rPr>
                  </w:pPr>
                  <w:r>
                    <w:rPr>
                      <w:rFonts w:hint="eastAsia"/>
                      <w:color w:val="000000"/>
                      <w:szCs w:val="21"/>
                      <w:highlight w:val="none"/>
                    </w:rPr>
                    <w:t>丙类，三楼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color w:val="000000"/>
                      <w:szCs w:val="21"/>
                    </w:rPr>
                    <w:t>危险化学品仓库</w:t>
                  </w:r>
                </w:p>
              </w:tc>
              <w:tc>
                <w:tcPr>
                  <w:tcW w:w="1661" w:type="pct"/>
                  <w:vAlign w:val="center"/>
                </w:tcPr>
                <w:p>
                  <w:pPr>
                    <w:spacing w:line="320" w:lineRule="exact"/>
                    <w:jc w:val="center"/>
                    <w:rPr>
                      <w:color w:val="000000"/>
                      <w:szCs w:val="21"/>
                    </w:rPr>
                  </w:pPr>
                  <w:r>
                    <w:rPr>
                      <w:rFonts w:hint="eastAsia"/>
                      <w:color w:val="000000"/>
                      <w:szCs w:val="21"/>
                    </w:rPr>
                    <w:t>10m</w:t>
                  </w:r>
                  <w:r>
                    <w:rPr>
                      <w:rFonts w:hint="eastAsia"/>
                      <w:color w:val="000000"/>
                      <w:szCs w:val="21"/>
                      <w:vertAlign w:val="superscript"/>
                    </w:rPr>
                    <w:t>2</w:t>
                  </w:r>
                </w:p>
              </w:tc>
              <w:tc>
                <w:tcPr>
                  <w:tcW w:w="1493" w:type="pct"/>
                  <w:vAlign w:val="center"/>
                </w:tcPr>
                <w:p>
                  <w:pPr>
                    <w:spacing w:line="320" w:lineRule="exact"/>
                    <w:jc w:val="center"/>
                    <w:rPr>
                      <w:color w:val="000000"/>
                      <w:szCs w:val="21"/>
                    </w:rPr>
                  </w:pPr>
                  <w:r>
                    <w:rPr>
                      <w:rFonts w:hint="eastAsia"/>
                      <w:color w:val="000000"/>
                      <w:szCs w:val="21"/>
                    </w:rPr>
                    <w:t>防爆柜暂存，暂存一天使用量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restart"/>
                  <w:vAlign w:val="center"/>
                </w:tcPr>
                <w:p>
                  <w:pPr>
                    <w:spacing w:line="320" w:lineRule="exact"/>
                    <w:jc w:val="center"/>
                    <w:rPr>
                      <w:color w:val="000000"/>
                      <w:szCs w:val="21"/>
                    </w:rPr>
                  </w:pPr>
                  <w:r>
                    <w:rPr>
                      <w:color w:val="000000"/>
                      <w:szCs w:val="21"/>
                    </w:rPr>
                    <w:t>公用工程</w:t>
                  </w:r>
                </w:p>
              </w:tc>
              <w:tc>
                <w:tcPr>
                  <w:tcW w:w="1246" w:type="pct"/>
                  <w:gridSpan w:val="2"/>
                  <w:vAlign w:val="center"/>
                </w:tcPr>
                <w:p>
                  <w:pPr>
                    <w:snapToGrid w:val="0"/>
                    <w:ind w:hanging="1"/>
                    <w:jc w:val="center"/>
                    <w:rPr>
                      <w:szCs w:val="21"/>
                    </w:rPr>
                  </w:pPr>
                  <w:r>
                    <w:rPr>
                      <w:rFonts w:hint="eastAsia"/>
                      <w:szCs w:val="21"/>
                    </w:rPr>
                    <w:t>给水</w:t>
                  </w:r>
                </w:p>
              </w:tc>
              <w:tc>
                <w:tcPr>
                  <w:tcW w:w="1661" w:type="pct"/>
                  <w:vAlign w:val="center"/>
                </w:tcPr>
                <w:p>
                  <w:pPr>
                    <w:adjustRightInd w:val="0"/>
                    <w:ind w:right="-105" w:rightChars="-50"/>
                    <w:jc w:val="center"/>
                    <w:rPr>
                      <w:szCs w:val="21"/>
                    </w:rPr>
                  </w:pPr>
                  <w:r>
                    <w:rPr>
                      <w:rFonts w:hint="eastAsia"/>
                      <w:szCs w:val="21"/>
                    </w:rPr>
                    <w:t>6000</w:t>
                  </w:r>
                  <w:r>
                    <w:rPr>
                      <w:szCs w:val="21"/>
                    </w:rPr>
                    <w:t>t/a</w:t>
                  </w:r>
                </w:p>
              </w:tc>
              <w:tc>
                <w:tcPr>
                  <w:tcW w:w="1493" w:type="pct"/>
                  <w:vAlign w:val="center"/>
                </w:tcPr>
                <w:p>
                  <w:pPr>
                    <w:jc w:val="center"/>
                    <w:rPr>
                      <w:szCs w:val="21"/>
                    </w:rPr>
                  </w:pPr>
                  <w:r>
                    <w:rPr>
                      <w:rFonts w:hint="eastAsia"/>
                      <w:szCs w:val="21"/>
                    </w:rPr>
                    <w:t>市政自来水管网供给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rFonts w:hint="eastAsia"/>
                      <w:color w:val="000000"/>
                      <w:szCs w:val="21"/>
                    </w:rPr>
                    <w:t>排水</w:t>
                  </w:r>
                </w:p>
              </w:tc>
              <w:tc>
                <w:tcPr>
                  <w:tcW w:w="1661" w:type="pct"/>
                  <w:vAlign w:val="center"/>
                </w:tcPr>
                <w:p>
                  <w:pPr>
                    <w:spacing w:line="320" w:lineRule="exact"/>
                    <w:jc w:val="center"/>
                    <w:rPr>
                      <w:color w:val="000000"/>
                      <w:szCs w:val="21"/>
                    </w:rPr>
                  </w:pPr>
                  <w:r>
                    <w:rPr>
                      <w:rFonts w:hint="eastAsia"/>
                      <w:szCs w:val="21"/>
                    </w:rPr>
                    <w:t>5100</w:t>
                  </w:r>
                  <w:r>
                    <w:rPr>
                      <w:szCs w:val="21"/>
                    </w:rPr>
                    <w:t>t/a</w:t>
                  </w:r>
                </w:p>
              </w:tc>
              <w:tc>
                <w:tcPr>
                  <w:tcW w:w="1493" w:type="pct"/>
                  <w:vAlign w:val="center"/>
                </w:tcPr>
                <w:p>
                  <w:pPr>
                    <w:spacing w:line="320" w:lineRule="exact"/>
                    <w:jc w:val="center"/>
                    <w:rPr>
                      <w:color w:val="000000"/>
                      <w:szCs w:val="21"/>
                    </w:rPr>
                  </w:pPr>
                  <w:r>
                    <w:rPr>
                      <w:rFonts w:hint="eastAsia"/>
                      <w:szCs w:val="21"/>
                    </w:rPr>
                    <w:t>项目生活污水经污水管网接管至科技城水质净化厂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napToGrid w:val="0"/>
                    <w:ind w:hanging="1"/>
                    <w:jc w:val="center"/>
                    <w:rPr>
                      <w:szCs w:val="21"/>
                    </w:rPr>
                  </w:pPr>
                  <w:r>
                    <w:rPr>
                      <w:rFonts w:hint="eastAsia"/>
                      <w:szCs w:val="21"/>
                    </w:rPr>
                    <w:t>供电</w:t>
                  </w:r>
                </w:p>
              </w:tc>
              <w:tc>
                <w:tcPr>
                  <w:tcW w:w="1661" w:type="pct"/>
                  <w:vAlign w:val="center"/>
                </w:tcPr>
                <w:p>
                  <w:pPr>
                    <w:adjustRightInd w:val="0"/>
                    <w:ind w:right="-105" w:rightChars="-50"/>
                    <w:jc w:val="center"/>
                    <w:rPr>
                      <w:szCs w:val="21"/>
                    </w:rPr>
                  </w:pPr>
                  <w:r>
                    <w:rPr>
                      <w:rFonts w:hint="eastAsia"/>
                      <w:szCs w:val="21"/>
                    </w:rPr>
                    <w:t>万</w:t>
                  </w:r>
                  <w:r>
                    <w:rPr>
                      <w:szCs w:val="21"/>
                    </w:rPr>
                    <w:t>kwh/a</w:t>
                  </w:r>
                </w:p>
              </w:tc>
              <w:tc>
                <w:tcPr>
                  <w:tcW w:w="1493" w:type="pct"/>
                  <w:vAlign w:val="center"/>
                </w:tcPr>
                <w:p>
                  <w:pPr>
                    <w:jc w:val="center"/>
                    <w:rPr>
                      <w:szCs w:val="21"/>
                    </w:rPr>
                  </w:pPr>
                  <w:r>
                    <w:rPr>
                      <w:rFonts w:hint="eastAsia"/>
                      <w:szCs w:val="21"/>
                    </w:rPr>
                    <w:t>由新区电网提供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napToGrid w:val="0"/>
                    <w:ind w:hanging="1"/>
                    <w:jc w:val="center"/>
                    <w:rPr>
                      <w:szCs w:val="21"/>
                    </w:rPr>
                  </w:pPr>
                  <w:r>
                    <w:rPr>
                      <w:rFonts w:hint="eastAsia"/>
                      <w:szCs w:val="21"/>
                    </w:rPr>
                    <w:t>空压机</w:t>
                  </w:r>
                </w:p>
              </w:tc>
              <w:tc>
                <w:tcPr>
                  <w:tcW w:w="1661" w:type="pct"/>
                  <w:vAlign w:val="center"/>
                </w:tcPr>
                <w:p>
                  <w:pPr>
                    <w:adjustRightInd w:val="0"/>
                    <w:ind w:right="-105" w:rightChars="-50"/>
                    <w:jc w:val="center"/>
                    <w:rPr>
                      <w:szCs w:val="21"/>
                    </w:rPr>
                  </w:pPr>
                  <w:r>
                    <w:rPr>
                      <w:rFonts w:hint="eastAsia"/>
                      <w:szCs w:val="21"/>
                    </w:rPr>
                    <w:t>2台</w:t>
                  </w:r>
                </w:p>
              </w:tc>
              <w:tc>
                <w:tcPr>
                  <w:tcW w:w="1493" w:type="pct"/>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restart"/>
                  <w:vAlign w:val="center"/>
                </w:tcPr>
                <w:p>
                  <w:pPr>
                    <w:spacing w:line="320" w:lineRule="exact"/>
                    <w:jc w:val="center"/>
                    <w:rPr>
                      <w:color w:val="000000"/>
                      <w:szCs w:val="21"/>
                    </w:rPr>
                  </w:pPr>
                  <w:r>
                    <w:rPr>
                      <w:color w:val="000000"/>
                      <w:szCs w:val="21"/>
                    </w:rPr>
                    <w:t>辅助工程</w:t>
                  </w:r>
                </w:p>
              </w:tc>
              <w:tc>
                <w:tcPr>
                  <w:tcW w:w="1246" w:type="pct"/>
                  <w:gridSpan w:val="2"/>
                  <w:vAlign w:val="center"/>
                </w:tcPr>
                <w:p>
                  <w:pPr>
                    <w:spacing w:line="320" w:lineRule="exact"/>
                    <w:jc w:val="center"/>
                    <w:rPr>
                      <w:color w:val="000000"/>
                      <w:szCs w:val="21"/>
                    </w:rPr>
                  </w:pPr>
                  <w:r>
                    <w:rPr>
                      <w:color w:val="000000"/>
                      <w:szCs w:val="21"/>
                    </w:rPr>
                    <w:t>办公楼</w:t>
                  </w:r>
                </w:p>
              </w:tc>
              <w:tc>
                <w:tcPr>
                  <w:tcW w:w="1661" w:type="pct"/>
                  <w:vAlign w:val="center"/>
                </w:tcPr>
                <w:p>
                  <w:pPr>
                    <w:spacing w:line="320" w:lineRule="exact"/>
                    <w:jc w:val="center"/>
                    <w:rPr>
                      <w:color w:val="000000"/>
                      <w:szCs w:val="21"/>
                    </w:rPr>
                  </w:pPr>
                  <w:r>
                    <w:rPr>
                      <w:rFonts w:hint="eastAsia"/>
                      <w:color w:val="000000"/>
                      <w:szCs w:val="21"/>
                    </w:rPr>
                    <w:t>500m</w:t>
                  </w:r>
                  <w:r>
                    <w:rPr>
                      <w:rFonts w:hint="eastAsia"/>
                      <w:color w:val="000000"/>
                      <w:szCs w:val="21"/>
                      <w:vertAlign w:val="superscript"/>
                    </w:rPr>
                    <w:t>2</w:t>
                  </w:r>
                </w:p>
              </w:tc>
              <w:tc>
                <w:tcPr>
                  <w:tcW w:w="1493" w:type="pct"/>
                  <w:vAlign w:val="center"/>
                </w:tcPr>
                <w:p>
                  <w:pPr>
                    <w:spacing w:line="320" w:lineRule="exact"/>
                    <w:jc w:val="center"/>
                    <w:rPr>
                      <w:color w:val="000000"/>
                      <w:szCs w:val="21"/>
                    </w:rPr>
                  </w:pPr>
                  <w:r>
                    <w:rPr>
                      <w:rFonts w:hint="eastAsia"/>
                      <w:color w:val="000000"/>
                      <w:szCs w:val="21"/>
                    </w:rPr>
                    <w:t>四楼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color w:val="000000"/>
                      <w:szCs w:val="21"/>
                    </w:rPr>
                    <w:t>食堂</w:t>
                  </w:r>
                </w:p>
              </w:tc>
              <w:tc>
                <w:tcPr>
                  <w:tcW w:w="1661" w:type="pct"/>
                  <w:vAlign w:val="center"/>
                </w:tcPr>
                <w:p>
                  <w:pPr>
                    <w:spacing w:line="320" w:lineRule="exact"/>
                    <w:jc w:val="center"/>
                    <w:rPr>
                      <w:color w:val="000000"/>
                      <w:szCs w:val="21"/>
                    </w:rPr>
                  </w:pPr>
                  <w:r>
                    <w:rPr>
                      <w:rFonts w:hint="eastAsia"/>
                      <w:color w:val="000000"/>
                      <w:szCs w:val="21"/>
                    </w:rPr>
                    <w:t>200m</w:t>
                  </w:r>
                  <w:r>
                    <w:rPr>
                      <w:rFonts w:hint="eastAsia"/>
                      <w:color w:val="000000"/>
                      <w:szCs w:val="21"/>
                      <w:vertAlign w:val="superscript"/>
                    </w:rPr>
                    <w:t>2</w:t>
                  </w:r>
                </w:p>
              </w:tc>
              <w:tc>
                <w:tcPr>
                  <w:tcW w:w="1493" w:type="pct"/>
                  <w:vAlign w:val="center"/>
                </w:tcPr>
                <w:p>
                  <w:pPr>
                    <w:spacing w:line="320" w:lineRule="exact"/>
                    <w:jc w:val="center"/>
                    <w:rPr>
                      <w:color w:val="000000"/>
                      <w:szCs w:val="21"/>
                    </w:rPr>
                  </w:pPr>
                  <w:r>
                    <w:rPr>
                      <w:rFonts w:hint="eastAsia"/>
                      <w:color w:val="000000"/>
                      <w:szCs w:val="21"/>
                    </w:rPr>
                    <w:t>三楼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restart"/>
                  <w:vAlign w:val="center"/>
                </w:tcPr>
                <w:p>
                  <w:pPr>
                    <w:spacing w:line="320" w:lineRule="exact"/>
                    <w:jc w:val="center"/>
                    <w:rPr>
                      <w:color w:val="000000"/>
                      <w:szCs w:val="21"/>
                    </w:rPr>
                  </w:pPr>
                  <w:r>
                    <w:rPr>
                      <w:color w:val="000000"/>
                      <w:szCs w:val="21"/>
                    </w:rPr>
                    <w:t>环保工程</w:t>
                  </w:r>
                </w:p>
              </w:tc>
              <w:tc>
                <w:tcPr>
                  <w:tcW w:w="389" w:type="pct"/>
                  <w:vMerge w:val="restart"/>
                  <w:vAlign w:val="center"/>
                </w:tcPr>
                <w:p>
                  <w:pPr>
                    <w:spacing w:line="320" w:lineRule="exact"/>
                    <w:jc w:val="center"/>
                    <w:rPr>
                      <w:color w:val="000000"/>
                      <w:szCs w:val="21"/>
                    </w:rPr>
                  </w:pPr>
                  <w:r>
                    <w:rPr>
                      <w:color w:val="000000"/>
                      <w:szCs w:val="21"/>
                    </w:rPr>
                    <w:t>废气处理</w:t>
                  </w:r>
                </w:p>
              </w:tc>
              <w:tc>
                <w:tcPr>
                  <w:tcW w:w="856" w:type="pct"/>
                  <w:vAlign w:val="center"/>
                </w:tcPr>
                <w:p>
                  <w:pPr>
                    <w:spacing w:line="320" w:lineRule="exact"/>
                    <w:jc w:val="center"/>
                    <w:rPr>
                      <w:color w:val="000000"/>
                      <w:szCs w:val="21"/>
                    </w:rPr>
                  </w:pPr>
                  <w:r>
                    <w:rPr>
                      <w:rFonts w:hint="eastAsia"/>
                      <w:color w:val="000000"/>
                      <w:szCs w:val="21"/>
                      <w:lang w:eastAsia="zh-CN"/>
                    </w:rPr>
                    <w:t>网版</w:t>
                  </w:r>
                  <w:r>
                    <w:rPr>
                      <w:rFonts w:hint="eastAsia"/>
                      <w:color w:val="000000"/>
                      <w:szCs w:val="21"/>
                    </w:rPr>
                    <w:t>清洗废气、回流焊废气</w:t>
                  </w:r>
                </w:p>
              </w:tc>
              <w:tc>
                <w:tcPr>
                  <w:tcW w:w="1661" w:type="pct"/>
                  <w:vAlign w:val="center"/>
                </w:tcPr>
                <w:p>
                  <w:pPr>
                    <w:spacing w:line="320" w:lineRule="exact"/>
                    <w:jc w:val="center"/>
                    <w:rPr>
                      <w:color w:val="000000"/>
                      <w:szCs w:val="21"/>
                    </w:rPr>
                  </w:pPr>
                  <w:r>
                    <w:rPr>
                      <w:rFonts w:hint="eastAsia"/>
                      <w:color w:val="000000"/>
                      <w:szCs w:val="21"/>
                    </w:rPr>
                    <w:t>集气罩收集后经一套二级活性炭废气处理装置，风量为10000m</w:t>
                  </w:r>
                  <w:r>
                    <w:rPr>
                      <w:rFonts w:hint="eastAsia"/>
                      <w:color w:val="000000"/>
                      <w:szCs w:val="21"/>
                      <w:vertAlign w:val="superscript"/>
                    </w:rPr>
                    <w:t>3</w:t>
                  </w:r>
                  <w:r>
                    <w:rPr>
                      <w:rFonts w:hint="eastAsia"/>
                      <w:color w:val="000000"/>
                      <w:szCs w:val="21"/>
                    </w:rPr>
                    <w:t>/h，尾气通过一根15m高排气筒DA001排放</w:t>
                  </w:r>
                </w:p>
              </w:tc>
              <w:tc>
                <w:tcPr>
                  <w:tcW w:w="1493" w:type="pct"/>
                  <w:vAlign w:val="center"/>
                </w:tcPr>
                <w:p>
                  <w:pPr>
                    <w:spacing w:line="32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389" w:type="pct"/>
                  <w:vMerge w:val="continue"/>
                  <w:vAlign w:val="center"/>
                </w:tcPr>
                <w:p>
                  <w:pPr>
                    <w:spacing w:line="320" w:lineRule="exact"/>
                    <w:jc w:val="center"/>
                    <w:rPr>
                      <w:color w:val="000000"/>
                      <w:szCs w:val="21"/>
                    </w:rPr>
                  </w:pPr>
                </w:p>
              </w:tc>
              <w:tc>
                <w:tcPr>
                  <w:tcW w:w="856" w:type="pct"/>
                  <w:vAlign w:val="center"/>
                </w:tcPr>
                <w:p>
                  <w:pPr>
                    <w:spacing w:line="320" w:lineRule="exact"/>
                    <w:jc w:val="center"/>
                    <w:rPr>
                      <w:color w:val="000000"/>
                      <w:szCs w:val="21"/>
                    </w:rPr>
                  </w:pPr>
                  <w:r>
                    <w:rPr>
                      <w:rFonts w:hint="eastAsia"/>
                      <w:color w:val="000000"/>
                      <w:szCs w:val="21"/>
                    </w:rPr>
                    <w:t>补焊废气、涂覆固化废气、清除涂覆废气和点胶废气</w:t>
                  </w:r>
                </w:p>
              </w:tc>
              <w:tc>
                <w:tcPr>
                  <w:tcW w:w="1661" w:type="pct"/>
                  <w:vAlign w:val="center"/>
                </w:tcPr>
                <w:p>
                  <w:pPr>
                    <w:spacing w:line="320" w:lineRule="exact"/>
                    <w:jc w:val="center"/>
                    <w:rPr>
                      <w:color w:val="000000"/>
                      <w:szCs w:val="21"/>
                    </w:rPr>
                  </w:pPr>
                  <w:r>
                    <w:rPr>
                      <w:rFonts w:hint="eastAsia"/>
                      <w:color w:val="000000"/>
                      <w:szCs w:val="21"/>
                    </w:rPr>
                    <w:t>集气罩收集后经一套二级活性炭废气处理装置，风量为15000m</w:t>
                  </w:r>
                  <w:r>
                    <w:rPr>
                      <w:rFonts w:hint="eastAsia"/>
                      <w:color w:val="000000"/>
                      <w:szCs w:val="21"/>
                      <w:vertAlign w:val="superscript"/>
                    </w:rPr>
                    <w:t>3</w:t>
                  </w:r>
                  <w:r>
                    <w:rPr>
                      <w:rFonts w:hint="eastAsia"/>
                      <w:color w:val="000000"/>
                      <w:szCs w:val="21"/>
                    </w:rPr>
                    <w:t>/h，尾气通过一根15m高排气筒DA002排放</w:t>
                  </w:r>
                </w:p>
              </w:tc>
              <w:tc>
                <w:tcPr>
                  <w:tcW w:w="1493" w:type="pct"/>
                </w:tcPr>
                <w:p>
                  <w:pPr>
                    <w:spacing w:line="32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389" w:type="pct"/>
                  <w:vAlign w:val="center"/>
                </w:tcPr>
                <w:p>
                  <w:pPr>
                    <w:spacing w:line="320" w:lineRule="exact"/>
                    <w:jc w:val="center"/>
                    <w:rPr>
                      <w:color w:val="000000"/>
                      <w:szCs w:val="21"/>
                    </w:rPr>
                  </w:pPr>
                  <w:r>
                    <w:rPr>
                      <w:color w:val="000000"/>
                      <w:szCs w:val="21"/>
                    </w:rPr>
                    <w:t>废水处理</w:t>
                  </w:r>
                </w:p>
              </w:tc>
              <w:tc>
                <w:tcPr>
                  <w:tcW w:w="856" w:type="pct"/>
                  <w:vAlign w:val="center"/>
                </w:tcPr>
                <w:p>
                  <w:pPr>
                    <w:jc w:val="center"/>
                    <w:rPr>
                      <w:color w:val="000000"/>
                      <w:szCs w:val="21"/>
                    </w:rPr>
                  </w:pPr>
                  <w:r>
                    <w:rPr>
                      <w:szCs w:val="21"/>
                    </w:rPr>
                    <w:t>生活污水</w:t>
                  </w:r>
                </w:p>
              </w:tc>
              <w:tc>
                <w:tcPr>
                  <w:tcW w:w="1661" w:type="pct"/>
                  <w:vAlign w:val="center"/>
                </w:tcPr>
                <w:p>
                  <w:pPr>
                    <w:adjustRightInd w:val="0"/>
                    <w:ind w:right="-105" w:rightChars="-50"/>
                    <w:jc w:val="center"/>
                    <w:rPr>
                      <w:color w:val="000000"/>
                      <w:szCs w:val="21"/>
                    </w:rPr>
                  </w:pPr>
                  <w:r>
                    <w:rPr>
                      <w:rFonts w:hint="eastAsia"/>
                      <w:szCs w:val="21"/>
                    </w:rPr>
                    <w:t>接入市政污水管网</w:t>
                  </w:r>
                </w:p>
              </w:tc>
              <w:tc>
                <w:tcPr>
                  <w:tcW w:w="1493" w:type="pct"/>
                  <w:vAlign w:val="center"/>
                </w:tcPr>
                <w:p>
                  <w:pPr>
                    <w:jc w:val="center"/>
                    <w:rPr>
                      <w:color w:val="000000"/>
                      <w:szCs w:val="21"/>
                    </w:rPr>
                  </w:pPr>
                  <w:r>
                    <w:rPr>
                      <w:rFonts w:hint="eastAsia"/>
                      <w:szCs w:val="21"/>
                    </w:rPr>
                    <w:t>排入科技城水质净化厂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1246" w:type="pct"/>
                  <w:gridSpan w:val="2"/>
                  <w:vAlign w:val="center"/>
                </w:tcPr>
                <w:p>
                  <w:pPr>
                    <w:spacing w:line="320" w:lineRule="exact"/>
                    <w:jc w:val="center"/>
                    <w:rPr>
                      <w:color w:val="000000"/>
                      <w:szCs w:val="21"/>
                    </w:rPr>
                  </w:pPr>
                  <w:r>
                    <w:rPr>
                      <w:rFonts w:hint="eastAsia"/>
                      <w:color w:val="000000"/>
                      <w:szCs w:val="21"/>
                    </w:rPr>
                    <w:t>噪声</w:t>
                  </w:r>
                </w:p>
              </w:tc>
              <w:tc>
                <w:tcPr>
                  <w:tcW w:w="1661" w:type="pct"/>
                  <w:vAlign w:val="center"/>
                </w:tcPr>
                <w:p>
                  <w:pPr>
                    <w:adjustRightInd w:val="0"/>
                    <w:ind w:left="-105" w:leftChars="-50" w:right="-105" w:rightChars="-50"/>
                    <w:jc w:val="center"/>
                    <w:rPr>
                      <w:color w:val="000000"/>
                      <w:szCs w:val="21"/>
                    </w:rPr>
                  </w:pPr>
                  <w:r>
                    <w:rPr>
                      <w:szCs w:val="21"/>
                    </w:rPr>
                    <w:t>合理布局、距离衰减、隔声、绿化吸声</w:t>
                  </w:r>
                </w:p>
              </w:tc>
              <w:tc>
                <w:tcPr>
                  <w:tcW w:w="1493" w:type="pct"/>
                  <w:vAlign w:val="center"/>
                </w:tcPr>
                <w:p>
                  <w:pPr>
                    <w:jc w:val="center"/>
                    <w:rPr>
                      <w:color w:val="000000"/>
                      <w:szCs w:val="21"/>
                    </w:rPr>
                  </w:pPr>
                  <w:r>
                    <w:rPr>
                      <w:szCs w:val="21"/>
                    </w:rPr>
                    <w:t>厂界达标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389" w:type="pct"/>
                  <w:vMerge w:val="restart"/>
                  <w:vAlign w:val="center"/>
                </w:tcPr>
                <w:p>
                  <w:pPr>
                    <w:spacing w:line="320" w:lineRule="exact"/>
                    <w:jc w:val="center"/>
                    <w:rPr>
                      <w:color w:val="000000"/>
                      <w:szCs w:val="21"/>
                    </w:rPr>
                  </w:pPr>
                  <w:r>
                    <w:rPr>
                      <w:rFonts w:hint="eastAsia"/>
                      <w:color w:val="000000"/>
                      <w:szCs w:val="21"/>
                    </w:rPr>
                    <w:t>固废</w:t>
                  </w:r>
                </w:p>
              </w:tc>
              <w:tc>
                <w:tcPr>
                  <w:tcW w:w="856" w:type="pct"/>
                  <w:vAlign w:val="center"/>
                </w:tcPr>
                <w:p>
                  <w:pPr>
                    <w:spacing w:line="320" w:lineRule="exact"/>
                    <w:jc w:val="center"/>
                    <w:rPr>
                      <w:color w:val="000000"/>
                      <w:szCs w:val="21"/>
                    </w:rPr>
                  </w:pPr>
                  <w:r>
                    <w:rPr>
                      <w:rFonts w:hint="eastAsia"/>
                      <w:color w:val="000000"/>
                      <w:szCs w:val="21"/>
                    </w:rPr>
                    <w:t>一般固废暂存处</w:t>
                  </w:r>
                </w:p>
              </w:tc>
              <w:tc>
                <w:tcPr>
                  <w:tcW w:w="1661" w:type="pct"/>
                  <w:vAlign w:val="center"/>
                </w:tcPr>
                <w:p>
                  <w:pPr>
                    <w:spacing w:line="320" w:lineRule="exact"/>
                    <w:jc w:val="center"/>
                    <w:rPr>
                      <w:color w:val="000000"/>
                      <w:szCs w:val="21"/>
                    </w:rPr>
                  </w:pPr>
                  <w:r>
                    <w:rPr>
                      <w:rFonts w:hint="eastAsia"/>
                      <w:color w:val="000000"/>
                      <w:szCs w:val="21"/>
                    </w:rPr>
                    <w:t>20m</w:t>
                  </w:r>
                  <w:r>
                    <w:rPr>
                      <w:rFonts w:hint="eastAsia"/>
                      <w:color w:val="000000"/>
                      <w:szCs w:val="21"/>
                      <w:vertAlign w:val="superscript"/>
                    </w:rPr>
                    <w:t>2</w:t>
                  </w:r>
                </w:p>
              </w:tc>
              <w:tc>
                <w:tcPr>
                  <w:tcW w:w="1493" w:type="pct"/>
                  <w:vMerge w:val="restart"/>
                  <w:vAlign w:val="center"/>
                </w:tcPr>
                <w:p>
                  <w:pPr>
                    <w:spacing w:line="320" w:lineRule="exact"/>
                    <w:jc w:val="center"/>
                    <w:rPr>
                      <w:color w:val="000000"/>
                      <w:szCs w:val="21"/>
                    </w:rPr>
                  </w:pPr>
                  <w:r>
                    <w:rPr>
                      <w:szCs w:val="21"/>
                    </w:rPr>
                    <w:t>零排放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98" w:type="pct"/>
                  <w:vMerge w:val="continue"/>
                  <w:vAlign w:val="center"/>
                </w:tcPr>
                <w:p>
                  <w:pPr>
                    <w:spacing w:line="320" w:lineRule="exact"/>
                    <w:jc w:val="center"/>
                    <w:rPr>
                      <w:color w:val="000000"/>
                      <w:szCs w:val="21"/>
                    </w:rPr>
                  </w:pPr>
                </w:p>
              </w:tc>
              <w:tc>
                <w:tcPr>
                  <w:tcW w:w="389" w:type="pct"/>
                  <w:vMerge w:val="continue"/>
                  <w:vAlign w:val="center"/>
                </w:tcPr>
                <w:p>
                  <w:pPr>
                    <w:spacing w:line="320" w:lineRule="exact"/>
                    <w:jc w:val="center"/>
                    <w:rPr>
                      <w:color w:val="000000"/>
                      <w:szCs w:val="21"/>
                    </w:rPr>
                  </w:pPr>
                </w:p>
              </w:tc>
              <w:tc>
                <w:tcPr>
                  <w:tcW w:w="856" w:type="pct"/>
                  <w:vAlign w:val="center"/>
                </w:tcPr>
                <w:p>
                  <w:pPr>
                    <w:spacing w:line="320" w:lineRule="exact"/>
                    <w:jc w:val="center"/>
                    <w:rPr>
                      <w:color w:val="000000"/>
                      <w:szCs w:val="21"/>
                    </w:rPr>
                  </w:pPr>
                  <w:r>
                    <w:rPr>
                      <w:color w:val="000000"/>
                      <w:szCs w:val="21"/>
                    </w:rPr>
                    <w:t>危险废物暂存处</w:t>
                  </w:r>
                  <w:r>
                    <w:rPr>
                      <w:rFonts w:hint="eastAsia"/>
                      <w:color w:val="000000"/>
                      <w:szCs w:val="21"/>
                    </w:rPr>
                    <w:t>（四楼）</w:t>
                  </w:r>
                </w:p>
              </w:tc>
              <w:tc>
                <w:tcPr>
                  <w:tcW w:w="1661" w:type="pct"/>
                  <w:vAlign w:val="center"/>
                </w:tcPr>
                <w:p>
                  <w:pPr>
                    <w:spacing w:line="320" w:lineRule="exact"/>
                    <w:jc w:val="center"/>
                    <w:rPr>
                      <w:color w:val="000000"/>
                      <w:szCs w:val="21"/>
                    </w:rPr>
                  </w:pPr>
                  <w:r>
                    <w:rPr>
                      <w:rFonts w:hint="eastAsia"/>
                      <w:color w:val="000000"/>
                      <w:szCs w:val="21"/>
                    </w:rPr>
                    <w:t>20m</w:t>
                  </w:r>
                  <w:r>
                    <w:rPr>
                      <w:rFonts w:hint="eastAsia"/>
                      <w:color w:val="000000"/>
                      <w:szCs w:val="21"/>
                      <w:vertAlign w:val="superscript"/>
                    </w:rPr>
                    <w:t>2</w:t>
                  </w:r>
                </w:p>
              </w:tc>
              <w:tc>
                <w:tcPr>
                  <w:tcW w:w="1493" w:type="pct"/>
                  <w:vMerge w:val="continue"/>
                  <w:vAlign w:val="center"/>
                </w:tcPr>
                <w:p>
                  <w:pPr>
                    <w:spacing w:line="320" w:lineRule="exact"/>
                    <w:jc w:val="center"/>
                    <w:rPr>
                      <w:color w:val="000000"/>
                      <w:szCs w:val="21"/>
                    </w:rPr>
                  </w:pPr>
                </w:p>
              </w:tc>
            </w:tr>
          </w:tbl>
          <w:p>
            <w:pPr>
              <w:pStyle w:val="6"/>
              <w:spacing w:before="0" w:after="0" w:line="360" w:lineRule="auto"/>
              <w:rPr>
                <w:color w:val="000000"/>
              </w:rPr>
            </w:pPr>
            <w:r>
              <w:rPr>
                <w:color w:val="000000"/>
                <w:sz w:val="24"/>
              </w:rPr>
              <w:t>2.5主要生产设备及参数</w:t>
            </w:r>
          </w:p>
          <w:p>
            <w:pPr>
              <w:spacing w:line="360" w:lineRule="auto"/>
              <w:ind w:firstLine="480" w:firstLineChars="200"/>
              <w:jc w:val="left"/>
              <w:rPr>
                <w:b/>
                <w:bCs/>
                <w:color w:val="000000"/>
                <w:sz w:val="24"/>
              </w:rPr>
            </w:pPr>
            <w:r>
              <w:rPr>
                <w:color w:val="000000"/>
                <w:sz w:val="24"/>
              </w:rPr>
              <w:t>项目主要生产设备详见表2-3。</w:t>
            </w:r>
          </w:p>
          <w:p>
            <w:pPr>
              <w:tabs>
                <w:tab w:val="left" w:pos="1159"/>
              </w:tabs>
              <w:spacing w:before="60"/>
              <w:jc w:val="center"/>
              <w:rPr>
                <w:b/>
                <w:color w:val="000000"/>
                <w:sz w:val="24"/>
              </w:rPr>
            </w:pPr>
            <w:r>
              <w:rPr>
                <w:b/>
                <w:color w:val="000000"/>
                <w:sz w:val="24"/>
              </w:rPr>
              <w:t>表2-3  项目主要设备一览表</w:t>
            </w:r>
          </w:p>
          <w:tbl>
            <w:tblPr>
              <w:tblStyle w:val="20"/>
              <w:tblW w:w="5000"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02"/>
              <w:gridCol w:w="2395"/>
              <w:gridCol w:w="3139"/>
              <w:gridCol w:w="1755"/>
              <w:gridCol w:w="603"/>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354" w:type="pct"/>
                  <w:noWrap/>
                  <w:vAlign w:val="center"/>
                </w:tcPr>
                <w:p>
                  <w:pPr>
                    <w:tabs>
                      <w:tab w:val="left" w:pos="3600"/>
                    </w:tabs>
                    <w:wordWrap w:val="0"/>
                    <w:jc w:val="center"/>
                    <w:rPr>
                      <w:b/>
                      <w:bCs/>
                      <w:color w:val="000000"/>
                      <w:szCs w:val="21"/>
                    </w:rPr>
                  </w:pPr>
                  <w:r>
                    <w:rPr>
                      <w:b/>
                      <w:bCs/>
                      <w:color w:val="000000"/>
                      <w:szCs w:val="21"/>
                    </w:rPr>
                    <w:t>序号</w:t>
                  </w:r>
                </w:p>
              </w:tc>
              <w:tc>
                <w:tcPr>
                  <w:tcW w:w="1409" w:type="pct"/>
                  <w:noWrap/>
                  <w:vAlign w:val="center"/>
                </w:tcPr>
                <w:p>
                  <w:pPr>
                    <w:tabs>
                      <w:tab w:val="left" w:pos="3600"/>
                    </w:tabs>
                    <w:wordWrap w:val="0"/>
                    <w:jc w:val="center"/>
                    <w:rPr>
                      <w:b/>
                      <w:bCs/>
                      <w:color w:val="000000"/>
                      <w:szCs w:val="21"/>
                    </w:rPr>
                  </w:pPr>
                  <w:r>
                    <w:rPr>
                      <w:b/>
                      <w:bCs/>
                      <w:color w:val="000000"/>
                      <w:szCs w:val="21"/>
                    </w:rPr>
                    <w:t>设备名称</w:t>
                  </w:r>
                </w:p>
              </w:tc>
              <w:tc>
                <w:tcPr>
                  <w:tcW w:w="1847" w:type="pct"/>
                  <w:noWrap/>
                  <w:vAlign w:val="center"/>
                </w:tcPr>
                <w:p>
                  <w:pPr>
                    <w:tabs>
                      <w:tab w:val="left" w:pos="3600"/>
                    </w:tabs>
                    <w:wordWrap w:val="0"/>
                    <w:jc w:val="center"/>
                    <w:rPr>
                      <w:color w:val="000000"/>
                      <w:szCs w:val="21"/>
                    </w:rPr>
                  </w:pPr>
                  <w:r>
                    <w:rPr>
                      <w:b/>
                      <w:bCs/>
                      <w:color w:val="000000"/>
                      <w:szCs w:val="21"/>
                    </w:rPr>
                    <w:t>规格型号</w:t>
                  </w:r>
                </w:p>
              </w:tc>
              <w:tc>
                <w:tcPr>
                  <w:tcW w:w="1032" w:type="pct"/>
                  <w:noWrap/>
                  <w:vAlign w:val="center"/>
                </w:tcPr>
                <w:p>
                  <w:pPr>
                    <w:tabs>
                      <w:tab w:val="left" w:pos="3600"/>
                    </w:tabs>
                    <w:wordWrap w:val="0"/>
                    <w:jc w:val="center"/>
                    <w:rPr>
                      <w:b/>
                      <w:bCs/>
                      <w:color w:val="000000"/>
                      <w:szCs w:val="21"/>
                    </w:rPr>
                  </w:pPr>
                  <w:r>
                    <w:rPr>
                      <w:b/>
                      <w:bCs/>
                      <w:color w:val="000000"/>
                      <w:szCs w:val="21"/>
                    </w:rPr>
                    <w:t>数量（台/套）</w:t>
                  </w:r>
                </w:p>
              </w:tc>
              <w:tc>
                <w:tcPr>
                  <w:tcW w:w="355" w:type="pct"/>
                  <w:noWrap/>
                  <w:vAlign w:val="center"/>
                </w:tcPr>
                <w:p>
                  <w:pPr>
                    <w:tabs>
                      <w:tab w:val="left" w:pos="3600"/>
                    </w:tabs>
                    <w:wordWrap w:val="0"/>
                    <w:jc w:val="center"/>
                    <w:rPr>
                      <w:b/>
                      <w:bCs/>
                      <w:color w:val="000000"/>
                      <w:szCs w:val="21"/>
                    </w:rPr>
                  </w:pPr>
                  <w:r>
                    <w:rPr>
                      <w:b/>
                      <w:bCs/>
                      <w:color w:val="000000"/>
                      <w:szCs w:val="21"/>
                    </w:rPr>
                    <w:t>备注</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1</w:t>
                  </w:r>
                </w:p>
              </w:tc>
              <w:tc>
                <w:tcPr>
                  <w:tcW w:w="1409" w:type="pct"/>
                  <w:noWrap/>
                  <w:vAlign w:val="center"/>
                </w:tcPr>
                <w:p>
                  <w:pPr>
                    <w:wordWrap w:val="0"/>
                    <w:jc w:val="center"/>
                    <w:rPr>
                      <w:color w:val="000000"/>
                      <w:szCs w:val="21"/>
                    </w:rPr>
                  </w:pPr>
                  <w:r>
                    <w:rPr>
                      <w:color w:val="000000"/>
                      <w:szCs w:val="21"/>
                    </w:rPr>
                    <w:t>印刷机</w:t>
                  </w:r>
                </w:p>
              </w:tc>
              <w:tc>
                <w:tcPr>
                  <w:tcW w:w="1847" w:type="pct"/>
                  <w:noWrap/>
                  <w:vAlign w:val="center"/>
                </w:tcPr>
                <w:p>
                  <w:pPr>
                    <w:wordWrap w:val="0"/>
                    <w:jc w:val="center"/>
                    <w:rPr>
                      <w:color w:val="000000"/>
                      <w:szCs w:val="21"/>
                    </w:rPr>
                  </w:pPr>
                  <w:r>
                    <w:rPr>
                      <w:rFonts w:hint="eastAsia"/>
                      <w:color w:val="000000"/>
                      <w:szCs w:val="21"/>
                    </w:rPr>
                    <w:t>GKG/DEK</w:t>
                  </w:r>
                </w:p>
              </w:tc>
              <w:tc>
                <w:tcPr>
                  <w:tcW w:w="1032" w:type="pct"/>
                  <w:noWrap/>
                  <w:vAlign w:val="center"/>
                </w:tcPr>
                <w:p>
                  <w:pPr>
                    <w:wordWrap w:val="0"/>
                    <w:jc w:val="center"/>
                    <w:rPr>
                      <w:color w:val="000000"/>
                      <w:szCs w:val="21"/>
                    </w:rPr>
                  </w:pPr>
                  <w:r>
                    <w:rPr>
                      <w:rFonts w:hint="eastAsia"/>
                      <w:color w:val="000000"/>
                      <w:szCs w:val="21"/>
                    </w:rPr>
                    <w:t>12</w:t>
                  </w:r>
                </w:p>
              </w:tc>
              <w:tc>
                <w:tcPr>
                  <w:tcW w:w="355" w:type="pct"/>
                  <w:noWrap/>
                  <w:vAlign w:val="center"/>
                </w:tcPr>
                <w:p>
                  <w:pPr>
                    <w:tabs>
                      <w:tab w:val="left" w:pos="3600"/>
                    </w:tabs>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2</w:t>
                  </w:r>
                </w:p>
              </w:tc>
              <w:tc>
                <w:tcPr>
                  <w:tcW w:w="1409" w:type="pct"/>
                  <w:noWrap/>
                  <w:vAlign w:val="center"/>
                </w:tcPr>
                <w:p>
                  <w:pPr>
                    <w:snapToGrid w:val="0"/>
                    <w:spacing w:line="320" w:lineRule="exact"/>
                    <w:jc w:val="center"/>
                    <w:rPr>
                      <w:color w:val="000000"/>
                      <w:szCs w:val="21"/>
                    </w:rPr>
                  </w:pPr>
                  <w:r>
                    <w:rPr>
                      <w:color w:val="000000"/>
                      <w:szCs w:val="21"/>
                    </w:rPr>
                    <w:t>贴片机</w:t>
                  </w:r>
                </w:p>
              </w:tc>
              <w:tc>
                <w:tcPr>
                  <w:tcW w:w="1847" w:type="pct"/>
                  <w:noWrap/>
                  <w:vAlign w:val="center"/>
                </w:tcPr>
                <w:p>
                  <w:pPr>
                    <w:snapToGrid w:val="0"/>
                    <w:spacing w:line="320" w:lineRule="exact"/>
                    <w:jc w:val="center"/>
                    <w:rPr>
                      <w:color w:val="000000"/>
                      <w:szCs w:val="21"/>
                    </w:rPr>
                  </w:pPr>
                  <w:r>
                    <w:rPr>
                      <w:rFonts w:hint="eastAsia"/>
                      <w:color w:val="000000"/>
                      <w:szCs w:val="21"/>
                    </w:rPr>
                    <w:t>松下/JUKI</w:t>
                  </w:r>
                </w:p>
              </w:tc>
              <w:tc>
                <w:tcPr>
                  <w:tcW w:w="1032" w:type="pct"/>
                  <w:noWrap/>
                  <w:vAlign w:val="center"/>
                </w:tcPr>
                <w:p>
                  <w:pPr>
                    <w:wordWrap w:val="0"/>
                    <w:jc w:val="center"/>
                    <w:rPr>
                      <w:color w:val="000000"/>
                      <w:szCs w:val="21"/>
                    </w:rPr>
                  </w:pPr>
                  <w:r>
                    <w:rPr>
                      <w:rFonts w:hint="eastAsia"/>
                      <w:color w:val="000000"/>
                      <w:szCs w:val="21"/>
                    </w:rPr>
                    <w:t>36</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3</w:t>
                  </w:r>
                </w:p>
              </w:tc>
              <w:tc>
                <w:tcPr>
                  <w:tcW w:w="1409" w:type="pct"/>
                  <w:noWrap/>
                  <w:vAlign w:val="center"/>
                </w:tcPr>
                <w:p>
                  <w:pPr>
                    <w:snapToGrid w:val="0"/>
                    <w:spacing w:line="320" w:lineRule="exact"/>
                    <w:jc w:val="center"/>
                    <w:rPr>
                      <w:color w:val="000000"/>
                      <w:szCs w:val="21"/>
                    </w:rPr>
                  </w:pPr>
                  <w:r>
                    <w:rPr>
                      <w:rFonts w:hint="eastAsia"/>
                      <w:color w:val="000000"/>
                      <w:szCs w:val="21"/>
                    </w:rPr>
                    <w:t>回流焊</w:t>
                  </w:r>
                </w:p>
              </w:tc>
              <w:tc>
                <w:tcPr>
                  <w:tcW w:w="1847" w:type="pct"/>
                  <w:noWrap/>
                  <w:vAlign w:val="center"/>
                </w:tcPr>
                <w:p>
                  <w:pPr>
                    <w:snapToGrid w:val="0"/>
                    <w:spacing w:line="320" w:lineRule="exact"/>
                    <w:jc w:val="center"/>
                    <w:rPr>
                      <w:color w:val="000000"/>
                      <w:szCs w:val="21"/>
                    </w:rPr>
                  </w:pPr>
                  <w:r>
                    <w:rPr>
                      <w:color w:val="000000"/>
                      <w:szCs w:val="21"/>
                    </w:rPr>
                    <w:t>劲拓</w:t>
                  </w:r>
                </w:p>
              </w:tc>
              <w:tc>
                <w:tcPr>
                  <w:tcW w:w="1032" w:type="pct"/>
                  <w:noWrap/>
                  <w:vAlign w:val="center"/>
                </w:tcPr>
                <w:p>
                  <w:pPr>
                    <w:snapToGrid w:val="0"/>
                    <w:spacing w:line="320" w:lineRule="exact"/>
                    <w:jc w:val="center"/>
                    <w:rPr>
                      <w:color w:val="000000"/>
                      <w:szCs w:val="21"/>
                    </w:rPr>
                  </w:pPr>
                  <w:r>
                    <w:rPr>
                      <w:rFonts w:hint="eastAsia"/>
                      <w:color w:val="000000"/>
                      <w:szCs w:val="21"/>
                    </w:rPr>
                    <w:t>12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4</w:t>
                  </w:r>
                </w:p>
              </w:tc>
              <w:tc>
                <w:tcPr>
                  <w:tcW w:w="1409" w:type="pct"/>
                  <w:noWrap/>
                  <w:vAlign w:val="center"/>
                </w:tcPr>
                <w:p>
                  <w:pPr>
                    <w:snapToGrid w:val="0"/>
                    <w:spacing w:line="320" w:lineRule="exact"/>
                    <w:jc w:val="center"/>
                    <w:rPr>
                      <w:color w:val="000000"/>
                      <w:szCs w:val="21"/>
                    </w:rPr>
                  </w:pPr>
                  <w:r>
                    <w:rPr>
                      <w:rFonts w:hint="eastAsia"/>
                      <w:color w:val="000000"/>
                      <w:szCs w:val="21"/>
                    </w:rPr>
                    <w:t>波峰焊</w:t>
                  </w:r>
                </w:p>
              </w:tc>
              <w:tc>
                <w:tcPr>
                  <w:tcW w:w="1847" w:type="pct"/>
                  <w:noWrap/>
                  <w:vAlign w:val="center"/>
                </w:tcPr>
                <w:p>
                  <w:pPr>
                    <w:snapToGrid w:val="0"/>
                    <w:spacing w:line="320" w:lineRule="exact"/>
                    <w:jc w:val="center"/>
                    <w:rPr>
                      <w:color w:val="000000"/>
                      <w:szCs w:val="21"/>
                    </w:rPr>
                  </w:pPr>
                  <w:r>
                    <w:rPr>
                      <w:color w:val="000000"/>
                      <w:szCs w:val="21"/>
                    </w:rPr>
                    <w:t>劲拓</w:t>
                  </w:r>
                  <w:r>
                    <w:rPr>
                      <w:rFonts w:hint="eastAsia"/>
                      <w:color w:val="000000"/>
                      <w:szCs w:val="21"/>
                    </w:rPr>
                    <w:t>/超越</w:t>
                  </w:r>
                </w:p>
              </w:tc>
              <w:tc>
                <w:tcPr>
                  <w:tcW w:w="1032" w:type="pct"/>
                  <w:noWrap/>
                  <w:vAlign w:val="center"/>
                </w:tcPr>
                <w:p>
                  <w:pPr>
                    <w:snapToGrid w:val="0"/>
                    <w:spacing w:line="320" w:lineRule="exact"/>
                    <w:jc w:val="center"/>
                    <w:rPr>
                      <w:color w:val="000000"/>
                      <w:szCs w:val="21"/>
                    </w:rPr>
                  </w:pPr>
                  <w:r>
                    <w:rPr>
                      <w:rFonts w:hint="eastAsia"/>
                      <w:color w:val="000000"/>
                      <w:szCs w:val="21"/>
                    </w:rPr>
                    <w:t>4</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5</w:t>
                  </w:r>
                </w:p>
              </w:tc>
              <w:tc>
                <w:tcPr>
                  <w:tcW w:w="1409" w:type="pct"/>
                  <w:noWrap/>
                  <w:vAlign w:val="center"/>
                </w:tcPr>
                <w:p>
                  <w:pPr>
                    <w:snapToGrid w:val="0"/>
                    <w:spacing w:line="320" w:lineRule="exact"/>
                    <w:jc w:val="center"/>
                    <w:rPr>
                      <w:color w:val="000000"/>
                      <w:szCs w:val="21"/>
                    </w:rPr>
                  </w:pPr>
                  <w:r>
                    <w:rPr>
                      <w:rFonts w:hint="eastAsia"/>
                      <w:color w:val="000000"/>
                      <w:szCs w:val="21"/>
                      <w:lang w:eastAsia="zh-CN"/>
                    </w:rPr>
                    <w:t>网版</w:t>
                  </w:r>
                  <w:r>
                    <w:rPr>
                      <w:rFonts w:hint="eastAsia"/>
                      <w:color w:val="000000"/>
                      <w:szCs w:val="21"/>
                    </w:rPr>
                    <w:t>清洗机</w:t>
                  </w:r>
                </w:p>
              </w:tc>
              <w:tc>
                <w:tcPr>
                  <w:tcW w:w="1847" w:type="pct"/>
                  <w:noWrap/>
                  <w:vAlign w:val="center"/>
                </w:tcPr>
                <w:p>
                  <w:pPr>
                    <w:snapToGrid w:val="0"/>
                    <w:spacing w:line="320" w:lineRule="exact"/>
                    <w:jc w:val="center"/>
                    <w:rPr>
                      <w:color w:val="000000"/>
                      <w:szCs w:val="21"/>
                    </w:rPr>
                  </w:pPr>
                  <w:r>
                    <w:rPr>
                      <w:rFonts w:hint="eastAsia"/>
                      <w:color w:val="000000"/>
                      <w:szCs w:val="21"/>
                    </w:rPr>
                    <w:t>/</w:t>
                  </w:r>
                </w:p>
              </w:tc>
              <w:tc>
                <w:tcPr>
                  <w:tcW w:w="1032" w:type="pct"/>
                  <w:noWrap/>
                  <w:vAlign w:val="center"/>
                </w:tcPr>
                <w:p>
                  <w:pPr>
                    <w:snapToGrid w:val="0"/>
                    <w:spacing w:line="320" w:lineRule="exact"/>
                    <w:jc w:val="center"/>
                    <w:rPr>
                      <w:color w:val="000000"/>
                      <w:szCs w:val="21"/>
                    </w:rPr>
                  </w:pPr>
                  <w:r>
                    <w:rPr>
                      <w:rFonts w:hint="eastAsia"/>
                      <w:color w:val="000000"/>
                      <w:szCs w:val="21"/>
                    </w:rPr>
                    <w:t>1</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6</w:t>
                  </w:r>
                </w:p>
              </w:tc>
              <w:tc>
                <w:tcPr>
                  <w:tcW w:w="1409" w:type="pct"/>
                  <w:noWrap/>
                  <w:vAlign w:val="center"/>
                </w:tcPr>
                <w:p>
                  <w:pPr>
                    <w:snapToGrid w:val="0"/>
                    <w:spacing w:line="320" w:lineRule="exact"/>
                    <w:jc w:val="center"/>
                    <w:rPr>
                      <w:color w:val="000000"/>
                      <w:szCs w:val="21"/>
                    </w:rPr>
                  </w:pPr>
                  <w:r>
                    <w:rPr>
                      <w:rFonts w:hint="eastAsia"/>
                      <w:color w:val="000000"/>
                      <w:szCs w:val="21"/>
                    </w:rPr>
                    <w:t>分板机</w:t>
                  </w:r>
                </w:p>
              </w:tc>
              <w:tc>
                <w:tcPr>
                  <w:tcW w:w="1847" w:type="pct"/>
                  <w:noWrap/>
                  <w:vAlign w:val="center"/>
                </w:tcPr>
                <w:p>
                  <w:pPr>
                    <w:snapToGrid w:val="0"/>
                    <w:spacing w:line="320" w:lineRule="exact"/>
                    <w:jc w:val="center"/>
                    <w:rPr>
                      <w:color w:val="000000"/>
                      <w:szCs w:val="21"/>
                    </w:rPr>
                  </w:pPr>
                  <w:r>
                    <w:rPr>
                      <w:rFonts w:hint="eastAsia"/>
                      <w:color w:val="000000"/>
                      <w:szCs w:val="21"/>
                    </w:rPr>
                    <w:t>/</w:t>
                  </w:r>
                </w:p>
              </w:tc>
              <w:tc>
                <w:tcPr>
                  <w:tcW w:w="1032" w:type="pct"/>
                  <w:noWrap/>
                  <w:vAlign w:val="center"/>
                </w:tcPr>
                <w:p>
                  <w:pPr>
                    <w:snapToGrid w:val="0"/>
                    <w:spacing w:line="320" w:lineRule="exact"/>
                    <w:jc w:val="center"/>
                    <w:rPr>
                      <w:color w:val="000000"/>
                      <w:szCs w:val="21"/>
                    </w:rPr>
                  </w:pPr>
                  <w:r>
                    <w:rPr>
                      <w:rFonts w:hint="eastAsia"/>
                      <w:color w:val="000000"/>
                      <w:szCs w:val="21"/>
                    </w:rPr>
                    <w:t>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7</w:t>
                  </w:r>
                </w:p>
              </w:tc>
              <w:tc>
                <w:tcPr>
                  <w:tcW w:w="1409" w:type="pct"/>
                  <w:noWrap/>
                  <w:vAlign w:val="center"/>
                </w:tcPr>
                <w:p>
                  <w:pPr>
                    <w:snapToGrid w:val="0"/>
                    <w:spacing w:line="320" w:lineRule="exact"/>
                    <w:jc w:val="center"/>
                    <w:rPr>
                      <w:color w:val="000000"/>
                      <w:szCs w:val="21"/>
                    </w:rPr>
                  </w:pPr>
                  <w:r>
                    <w:rPr>
                      <w:rFonts w:hint="eastAsia"/>
                      <w:color w:val="000000"/>
                      <w:szCs w:val="21"/>
                    </w:rPr>
                    <w:t>涂敷机</w:t>
                  </w:r>
                </w:p>
              </w:tc>
              <w:tc>
                <w:tcPr>
                  <w:tcW w:w="1847" w:type="pct"/>
                  <w:noWrap/>
                  <w:vAlign w:val="center"/>
                </w:tcPr>
                <w:p>
                  <w:pPr>
                    <w:snapToGrid w:val="0"/>
                    <w:spacing w:line="320" w:lineRule="exact"/>
                    <w:jc w:val="center"/>
                    <w:rPr>
                      <w:color w:val="000000"/>
                      <w:szCs w:val="21"/>
                    </w:rPr>
                  </w:pPr>
                  <w:r>
                    <w:rPr>
                      <w:rFonts w:hint="eastAsia"/>
                      <w:color w:val="000000"/>
                      <w:szCs w:val="21"/>
                    </w:rPr>
                    <w:t>PROCESS</w:t>
                  </w:r>
                </w:p>
              </w:tc>
              <w:tc>
                <w:tcPr>
                  <w:tcW w:w="1032" w:type="pct"/>
                  <w:noWrap/>
                  <w:vAlign w:val="center"/>
                </w:tcPr>
                <w:p>
                  <w:pPr>
                    <w:snapToGrid w:val="0"/>
                    <w:spacing w:line="320" w:lineRule="exact"/>
                    <w:jc w:val="center"/>
                    <w:rPr>
                      <w:color w:val="000000"/>
                      <w:szCs w:val="21"/>
                    </w:rPr>
                  </w:pPr>
                  <w:r>
                    <w:rPr>
                      <w:rFonts w:hint="eastAsia"/>
                      <w:color w:val="000000"/>
                      <w:szCs w:val="21"/>
                    </w:rPr>
                    <w:t>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8</w:t>
                  </w:r>
                </w:p>
              </w:tc>
              <w:tc>
                <w:tcPr>
                  <w:tcW w:w="1409" w:type="pct"/>
                  <w:noWrap/>
                  <w:vAlign w:val="center"/>
                </w:tcPr>
                <w:p>
                  <w:pPr>
                    <w:snapToGrid w:val="0"/>
                    <w:spacing w:line="320" w:lineRule="exact"/>
                    <w:jc w:val="center"/>
                    <w:rPr>
                      <w:color w:val="000000"/>
                      <w:szCs w:val="21"/>
                    </w:rPr>
                  </w:pPr>
                  <w:r>
                    <w:rPr>
                      <w:rFonts w:hint="eastAsia"/>
                      <w:color w:val="000000"/>
                      <w:szCs w:val="21"/>
                    </w:rPr>
                    <w:t>镭雕机</w:t>
                  </w:r>
                </w:p>
              </w:tc>
              <w:tc>
                <w:tcPr>
                  <w:tcW w:w="1847" w:type="pct"/>
                  <w:noWrap/>
                  <w:vAlign w:val="center"/>
                </w:tcPr>
                <w:p>
                  <w:pPr>
                    <w:snapToGrid w:val="0"/>
                    <w:spacing w:line="320" w:lineRule="exact"/>
                    <w:jc w:val="center"/>
                    <w:rPr>
                      <w:color w:val="000000"/>
                      <w:szCs w:val="21"/>
                    </w:rPr>
                  </w:pPr>
                  <w:r>
                    <w:rPr>
                      <w:rFonts w:hint="eastAsia"/>
                      <w:color w:val="000000"/>
                      <w:szCs w:val="21"/>
                    </w:rPr>
                    <w:t>/</w:t>
                  </w:r>
                </w:p>
              </w:tc>
              <w:tc>
                <w:tcPr>
                  <w:tcW w:w="1032" w:type="pct"/>
                  <w:noWrap/>
                  <w:vAlign w:val="center"/>
                </w:tcPr>
                <w:p>
                  <w:pPr>
                    <w:snapToGrid w:val="0"/>
                    <w:spacing w:line="320" w:lineRule="exact"/>
                    <w:jc w:val="center"/>
                    <w:rPr>
                      <w:color w:val="000000"/>
                      <w:szCs w:val="21"/>
                    </w:rPr>
                  </w:pPr>
                  <w:r>
                    <w:rPr>
                      <w:rFonts w:hint="eastAsia"/>
                      <w:color w:val="000000"/>
                      <w:szCs w:val="21"/>
                    </w:rPr>
                    <w:t>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9</w:t>
                  </w:r>
                </w:p>
              </w:tc>
              <w:tc>
                <w:tcPr>
                  <w:tcW w:w="1409" w:type="pct"/>
                  <w:noWrap/>
                  <w:vAlign w:val="center"/>
                </w:tcPr>
                <w:p>
                  <w:pPr>
                    <w:wordWrap w:val="0"/>
                    <w:jc w:val="center"/>
                    <w:rPr>
                      <w:color w:val="000000"/>
                      <w:szCs w:val="21"/>
                    </w:rPr>
                  </w:pPr>
                  <w:r>
                    <w:rPr>
                      <w:rFonts w:hint="eastAsia"/>
                      <w:color w:val="000000"/>
                      <w:szCs w:val="21"/>
                    </w:rPr>
                    <w:t>AOI光学检测仪</w:t>
                  </w:r>
                </w:p>
              </w:tc>
              <w:tc>
                <w:tcPr>
                  <w:tcW w:w="1847" w:type="pct"/>
                  <w:noWrap/>
                  <w:vAlign w:val="center"/>
                </w:tcPr>
                <w:p>
                  <w:pPr>
                    <w:wordWrap w:val="0"/>
                    <w:jc w:val="center"/>
                    <w:rPr>
                      <w:color w:val="000000"/>
                      <w:szCs w:val="21"/>
                    </w:rPr>
                  </w:pPr>
                </w:p>
              </w:tc>
              <w:tc>
                <w:tcPr>
                  <w:tcW w:w="1032" w:type="pct"/>
                  <w:noWrap/>
                  <w:vAlign w:val="center"/>
                </w:tcPr>
                <w:p>
                  <w:pPr>
                    <w:wordWrap w:val="0"/>
                    <w:jc w:val="center"/>
                    <w:rPr>
                      <w:color w:val="000000"/>
                      <w:szCs w:val="21"/>
                    </w:rPr>
                  </w:pPr>
                  <w:r>
                    <w:rPr>
                      <w:rFonts w:hint="eastAsia"/>
                      <w:color w:val="000000"/>
                      <w:szCs w:val="21"/>
                    </w:rPr>
                    <w:t>12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10</w:t>
                  </w:r>
                </w:p>
              </w:tc>
              <w:tc>
                <w:tcPr>
                  <w:tcW w:w="1409" w:type="pct"/>
                  <w:noWrap/>
                  <w:vAlign w:val="center"/>
                </w:tcPr>
                <w:p>
                  <w:pPr>
                    <w:wordWrap w:val="0"/>
                    <w:jc w:val="center"/>
                    <w:rPr>
                      <w:color w:val="000000"/>
                      <w:szCs w:val="21"/>
                    </w:rPr>
                  </w:pPr>
                  <w:r>
                    <w:rPr>
                      <w:rFonts w:hint="eastAsia"/>
                      <w:color w:val="000000"/>
                      <w:szCs w:val="21"/>
                    </w:rPr>
                    <w:t>上板机</w:t>
                  </w:r>
                </w:p>
              </w:tc>
              <w:tc>
                <w:tcPr>
                  <w:tcW w:w="1847" w:type="pct"/>
                  <w:noWrap/>
                  <w:vAlign w:val="center"/>
                </w:tcPr>
                <w:p>
                  <w:pPr>
                    <w:wordWrap w:val="0"/>
                    <w:jc w:val="center"/>
                    <w:rPr>
                      <w:color w:val="000000"/>
                      <w:szCs w:val="21"/>
                    </w:rPr>
                  </w:pPr>
                </w:p>
              </w:tc>
              <w:tc>
                <w:tcPr>
                  <w:tcW w:w="1032" w:type="pct"/>
                  <w:noWrap/>
                  <w:vAlign w:val="center"/>
                </w:tcPr>
                <w:p>
                  <w:pPr>
                    <w:wordWrap w:val="0"/>
                    <w:jc w:val="center"/>
                    <w:rPr>
                      <w:color w:val="000000"/>
                      <w:szCs w:val="21"/>
                    </w:rPr>
                  </w:pPr>
                  <w:r>
                    <w:rPr>
                      <w:rFonts w:hint="eastAsia"/>
                      <w:color w:val="000000"/>
                      <w:szCs w:val="21"/>
                    </w:rPr>
                    <w:t>12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11</w:t>
                  </w:r>
                </w:p>
              </w:tc>
              <w:tc>
                <w:tcPr>
                  <w:tcW w:w="1409" w:type="pct"/>
                  <w:noWrap/>
                  <w:vAlign w:val="center"/>
                </w:tcPr>
                <w:p>
                  <w:pPr>
                    <w:wordWrap w:val="0"/>
                    <w:jc w:val="center"/>
                    <w:rPr>
                      <w:color w:val="000000"/>
                      <w:szCs w:val="21"/>
                    </w:rPr>
                  </w:pPr>
                  <w:r>
                    <w:rPr>
                      <w:rFonts w:hint="eastAsia"/>
                      <w:color w:val="000000"/>
                      <w:szCs w:val="21"/>
                    </w:rPr>
                    <w:t>下板机</w:t>
                  </w:r>
                </w:p>
              </w:tc>
              <w:tc>
                <w:tcPr>
                  <w:tcW w:w="1847" w:type="pct"/>
                  <w:noWrap/>
                  <w:vAlign w:val="center"/>
                </w:tcPr>
                <w:p>
                  <w:pPr>
                    <w:wordWrap w:val="0"/>
                    <w:jc w:val="center"/>
                    <w:rPr>
                      <w:color w:val="000000"/>
                      <w:szCs w:val="21"/>
                    </w:rPr>
                  </w:pPr>
                </w:p>
              </w:tc>
              <w:tc>
                <w:tcPr>
                  <w:tcW w:w="1032" w:type="pct"/>
                  <w:noWrap/>
                  <w:vAlign w:val="center"/>
                </w:tcPr>
                <w:p>
                  <w:pPr>
                    <w:wordWrap w:val="0"/>
                    <w:jc w:val="center"/>
                    <w:rPr>
                      <w:color w:val="000000"/>
                      <w:szCs w:val="21"/>
                    </w:rPr>
                  </w:pPr>
                  <w:r>
                    <w:rPr>
                      <w:rFonts w:hint="eastAsia"/>
                      <w:color w:val="000000"/>
                      <w:szCs w:val="21"/>
                    </w:rPr>
                    <w:t>12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tabs>
                      <w:tab w:val="left" w:pos="3600"/>
                    </w:tabs>
                    <w:wordWrap w:val="0"/>
                    <w:jc w:val="center"/>
                    <w:rPr>
                      <w:color w:val="000000"/>
                      <w:szCs w:val="21"/>
                    </w:rPr>
                  </w:pPr>
                  <w:r>
                    <w:rPr>
                      <w:color w:val="000000"/>
                      <w:szCs w:val="21"/>
                    </w:rPr>
                    <w:t>12</w:t>
                  </w:r>
                </w:p>
              </w:tc>
              <w:tc>
                <w:tcPr>
                  <w:tcW w:w="1409" w:type="pct"/>
                  <w:noWrap/>
                  <w:vAlign w:val="center"/>
                </w:tcPr>
                <w:p>
                  <w:pPr>
                    <w:wordWrap w:val="0"/>
                    <w:jc w:val="center"/>
                    <w:rPr>
                      <w:color w:val="000000"/>
                      <w:szCs w:val="21"/>
                    </w:rPr>
                  </w:pPr>
                  <w:r>
                    <w:rPr>
                      <w:rFonts w:hint="eastAsia"/>
                      <w:color w:val="000000"/>
                      <w:szCs w:val="21"/>
                    </w:rPr>
                    <w:t>SPI锡膏检测仪</w:t>
                  </w:r>
                </w:p>
              </w:tc>
              <w:tc>
                <w:tcPr>
                  <w:tcW w:w="1847" w:type="pct"/>
                  <w:noWrap/>
                  <w:vAlign w:val="center"/>
                </w:tcPr>
                <w:p>
                  <w:pPr>
                    <w:wordWrap w:val="0"/>
                    <w:jc w:val="center"/>
                    <w:rPr>
                      <w:color w:val="000000"/>
                      <w:szCs w:val="21"/>
                    </w:rPr>
                  </w:pPr>
                  <w:r>
                    <w:rPr>
                      <w:color w:val="000000"/>
                      <w:szCs w:val="21"/>
                    </w:rPr>
                    <w:t>MI3000</w:t>
                  </w:r>
                </w:p>
              </w:tc>
              <w:tc>
                <w:tcPr>
                  <w:tcW w:w="1032" w:type="pct"/>
                  <w:noWrap/>
                  <w:vAlign w:val="center"/>
                </w:tcPr>
                <w:p>
                  <w:pPr>
                    <w:wordWrap w:val="0"/>
                    <w:jc w:val="center"/>
                    <w:rPr>
                      <w:color w:val="000000"/>
                      <w:szCs w:val="21"/>
                    </w:rPr>
                  </w:pPr>
                  <w:r>
                    <w:rPr>
                      <w:rFonts w:hint="eastAsia"/>
                      <w:color w:val="000000"/>
                      <w:szCs w:val="21"/>
                    </w:rPr>
                    <w:t>12</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wordWrap w:val="0"/>
                    <w:jc w:val="center"/>
                    <w:rPr>
                      <w:color w:val="000000"/>
                      <w:szCs w:val="21"/>
                    </w:rPr>
                  </w:pPr>
                  <w:r>
                    <w:rPr>
                      <w:color w:val="000000"/>
                      <w:szCs w:val="21"/>
                    </w:rPr>
                    <w:t>13</w:t>
                  </w:r>
                </w:p>
              </w:tc>
              <w:tc>
                <w:tcPr>
                  <w:tcW w:w="1409" w:type="pct"/>
                  <w:noWrap/>
                  <w:vAlign w:val="center"/>
                </w:tcPr>
                <w:p>
                  <w:pPr>
                    <w:wordWrap w:val="0"/>
                    <w:jc w:val="center"/>
                    <w:rPr>
                      <w:color w:val="000000"/>
                      <w:szCs w:val="21"/>
                    </w:rPr>
                  </w:pPr>
                  <w:r>
                    <w:rPr>
                      <w:rFonts w:hint="eastAsia"/>
                      <w:color w:val="000000"/>
                      <w:szCs w:val="21"/>
                    </w:rPr>
                    <w:t>插件线</w:t>
                  </w:r>
                </w:p>
              </w:tc>
              <w:tc>
                <w:tcPr>
                  <w:tcW w:w="1847" w:type="pct"/>
                  <w:noWrap/>
                  <w:vAlign w:val="center"/>
                </w:tcPr>
                <w:p>
                  <w:pPr>
                    <w:wordWrap w:val="0"/>
                    <w:jc w:val="center"/>
                    <w:rPr>
                      <w:color w:val="000000"/>
                      <w:szCs w:val="21"/>
                    </w:rPr>
                  </w:pPr>
                </w:p>
              </w:tc>
              <w:tc>
                <w:tcPr>
                  <w:tcW w:w="1032" w:type="pct"/>
                  <w:noWrap/>
                  <w:vAlign w:val="center"/>
                </w:tcPr>
                <w:p>
                  <w:pPr>
                    <w:wordWrap w:val="0"/>
                    <w:jc w:val="center"/>
                    <w:rPr>
                      <w:color w:val="000000"/>
                      <w:szCs w:val="21"/>
                    </w:rPr>
                  </w:pPr>
                  <w:r>
                    <w:rPr>
                      <w:rFonts w:hint="eastAsia"/>
                      <w:color w:val="000000"/>
                      <w:szCs w:val="21"/>
                    </w:rPr>
                    <w:t>4</w:t>
                  </w:r>
                </w:p>
              </w:tc>
              <w:tc>
                <w:tcPr>
                  <w:tcW w:w="355" w:type="pct"/>
                  <w:noWrap/>
                  <w:vAlign w:val="center"/>
                </w:tcPr>
                <w:p>
                  <w:pPr>
                    <w:wordWrap w:val="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354" w:type="pct"/>
                  <w:noWrap/>
                  <w:vAlign w:val="center"/>
                </w:tcPr>
                <w:p>
                  <w:pPr>
                    <w:wordWrap w:val="0"/>
                    <w:jc w:val="center"/>
                    <w:rPr>
                      <w:color w:val="000000"/>
                      <w:szCs w:val="21"/>
                    </w:rPr>
                  </w:pPr>
                  <w:r>
                    <w:rPr>
                      <w:rFonts w:hint="eastAsia"/>
                      <w:color w:val="000000"/>
                      <w:szCs w:val="21"/>
                    </w:rPr>
                    <w:t>14</w:t>
                  </w:r>
                </w:p>
              </w:tc>
              <w:tc>
                <w:tcPr>
                  <w:tcW w:w="1409" w:type="pct"/>
                  <w:noWrap/>
                  <w:vAlign w:val="center"/>
                </w:tcPr>
                <w:p>
                  <w:pPr>
                    <w:wordWrap w:val="0"/>
                    <w:jc w:val="center"/>
                    <w:rPr>
                      <w:color w:val="000000"/>
                      <w:szCs w:val="21"/>
                    </w:rPr>
                  </w:pPr>
                  <w:r>
                    <w:rPr>
                      <w:rFonts w:hint="eastAsia"/>
                      <w:color w:val="000000"/>
                      <w:szCs w:val="21"/>
                    </w:rPr>
                    <w:t>X-RAY</w:t>
                  </w:r>
                </w:p>
              </w:tc>
              <w:tc>
                <w:tcPr>
                  <w:tcW w:w="1847" w:type="pct"/>
                  <w:noWrap/>
                  <w:vAlign w:val="center"/>
                </w:tcPr>
                <w:p>
                  <w:pPr>
                    <w:wordWrap w:val="0"/>
                    <w:jc w:val="center"/>
                    <w:rPr>
                      <w:color w:val="000000"/>
                      <w:szCs w:val="21"/>
                    </w:rPr>
                  </w:pPr>
                  <w:r>
                    <w:rPr>
                      <w:color w:val="000000"/>
                      <w:szCs w:val="21"/>
                    </w:rPr>
                    <w:t>/</w:t>
                  </w:r>
                </w:p>
              </w:tc>
              <w:tc>
                <w:tcPr>
                  <w:tcW w:w="1032" w:type="pct"/>
                  <w:noWrap/>
                  <w:vAlign w:val="center"/>
                </w:tcPr>
                <w:p>
                  <w:pPr>
                    <w:wordWrap w:val="0"/>
                    <w:jc w:val="center"/>
                    <w:rPr>
                      <w:color w:val="000000"/>
                      <w:szCs w:val="21"/>
                    </w:rPr>
                  </w:pPr>
                  <w:r>
                    <w:rPr>
                      <w:rFonts w:hint="eastAsia"/>
                      <w:color w:val="000000"/>
                      <w:szCs w:val="21"/>
                    </w:rPr>
                    <w:t>1</w:t>
                  </w:r>
                </w:p>
              </w:tc>
              <w:tc>
                <w:tcPr>
                  <w:tcW w:w="355" w:type="pct"/>
                  <w:noWrap/>
                  <w:vAlign w:val="center"/>
                </w:tcPr>
                <w:p>
                  <w:pPr>
                    <w:wordWrap w:val="0"/>
                    <w:jc w:val="center"/>
                    <w:rPr>
                      <w:color w:val="000000"/>
                      <w:szCs w:val="21"/>
                    </w:rPr>
                  </w:pPr>
                </w:p>
              </w:tc>
            </w:tr>
          </w:tbl>
          <w:p>
            <w:pPr>
              <w:tabs>
                <w:tab w:val="left" w:pos="0"/>
              </w:tabs>
              <w:spacing w:line="360" w:lineRule="auto"/>
              <w:rPr>
                <w:b/>
                <w:bCs/>
                <w:color w:val="000000"/>
                <w:sz w:val="24"/>
              </w:rPr>
            </w:pPr>
            <w:r>
              <w:rPr>
                <w:b/>
                <w:bCs/>
                <w:color w:val="000000"/>
                <w:sz w:val="24"/>
              </w:rPr>
              <w:t>2.6原辅料情况</w:t>
            </w:r>
          </w:p>
          <w:p>
            <w:pPr>
              <w:spacing w:line="360" w:lineRule="auto"/>
              <w:ind w:firstLine="480" w:firstLineChars="200"/>
              <w:jc w:val="left"/>
              <w:rPr>
                <w:color w:val="000000"/>
                <w:sz w:val="24"/>
              </w:rPr>
            </w:pPr>
            <w:r>
              <w:rPr>
                <w:color w:val="000000"/>
                <w:sz w:val="24"/>
              </w:rPr>
              <w:t>项目原辅料使用情况详见表2-4。</w:t>
            </w:r>
          </w:p>
          <w:p>
            <w:pPr>
              <w:tabs>
                <w:tab w:val="left" w:pos="1159"/>
              </w:tabs>
              <w:spacing w:before="60"/>
              <w:jc w:val="center"/>
              <w:rPr>
                <w:b/>
                <w:color w:val="000000"/>
                <w:sz w:val="24"/>
              </w:rPr>
            </w:pPr>
            <w:r>
              <w:rPr>
                <w:b/>
                <w:color w:val="000000"/>
                <w:sz w:val="24"/>
              </w:rPr>
              <w:t>表2-4  项目主要原辅料一览表</w:t>
            </w:r>
          </w:p>
          <w:tbl>
            <w:tblPr>
              <w:tblStyle w:val="2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2238"/>
              <w:gridCol w:w="754"/>
              <w:gridCol w:w="919"/>
              <w:gridCol w:w="1506"/>
              <w:gridCol w:w="1131"/>
              <w:gridCol w:w="5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adjustRightInd w:val="0"/>
                    <w:snapToGrid w:val="0"/>
                    <w:jc w:val="center"/>
                    <w:rPr>
                      <w:b/>
                      <w:color w:val="000000"/>
                      <w:szCs w:val="21"/>
                    </w:rPr>
                  </w:pPr>
                  <w:r>
                    <w:rPr>
                      <w:b/>
                      <w:color w:val="000000"/>
                      <w:szCs w:val="21"/>
                    </w:rPr>
                    <w:t>名称</w:t>
                  </w:r>
                </w:p>
              </w:tc>
              <w:tc>
                <w:tcPr>
                  <w:tcW w:w="1317" w:type="pct"/>
                  <w:vAlign w:val="center"/>
                </w:tcPr>
                <w:p>
                  <w:pPr>
                    <w:adjustRightInd w:val="0"/>
                    <w:snapToGrid w:val="0"/>
                    <w:jc w:val="center"/>
                    <w:rPr>
                      <w:b/>
                      <w:color w:val="000000"/>
                      <w:szCs w:val="21"/>
                    </w:rPr>
                  </w:pPr>
                  <w:r>
                    <w:rPr>
                      <w:b/>
                      <w:color w:val="000000"/>
                      <w:szCs w:val="21"/>
                    </w:rPr>
                    <w:t>主要成分</w:t>
                  </w:r>
                </w:p>
              </w:tc>
              <w:tc>
                <w:tcPr>
                  <w:tcW w:w="444" w:type="pct"/>
                  <w:vAlign w:val="center"/>
                </w:tcPr>
                <w:p>
                  <w:pPr>
                    <w:adjustRightInd w:val="0"/>
                    <w:snapToGrid w:val="0"/>
                    <w:jc w:val="center"/>
                    <w:rPr>
                      <w:b/>
                      <w:color w:val="000000"/>
                      <w:szCs w:val="21"/>
                    </w:rPr>
                  </w:pPr>
                  <w:r>
                    <w:rPr>
                      <w:b/>
                      <w:color w:val="000000"/>
                      <w:szCs w:val="21"/>
                    </w:rPr>
                    <w:t>单位</w:t>
                  </w:r>
                </w:p>
              </w:tc>
              <w:tc>
                <w:tcPr>
                  <w:tcW w:w="541" w:type="pct"/>
                  <w:vAlign w:val="center"/>
                </w:tcPr>
                <w:p>
                  <w:pPr>
                    <w:adjustRightInd w:val="0"/>
                    <w:snapToGrid w:val="0"/>
                    <w:jc w:val="center"/>
                    <w:rPr>
                      <w:b/>
                      <w:color w:val="000000"/>
                      <w:szCs w:val="21"/>
                    </w:rPr>
                  </w:pPr>
                  <w:r>
                    <w:rPr>
                      <w:b/>
                      <w:color w:val="000000"/>
                      <w:szCs w:val="21"/>
                    </w:rPr>
                    <w:t>年用量</w:t>
                  </w:r>
                </w:p>
              </w:tc>
              <w:tc>
                <w:tcPr>
                  <w:tcW w:w="886" w:type="pct"/>
                  <w:vAlign w:val="center"/>
                </w:tcPr>
                <w:p>
                  <w:pPr>
                    <w:adjustRightInd w:val="0"/>
                    <w:snapToGrid w:val="0"/>
                    <w:jc w:val="center"/>
                    <w:rPr>
                      <w:b/>
                      <w:color w:val="000000"/>
                      <w:szCs w:val="21"/>
                    </w:rPr>
                  </w:pPr>
                  <w:r>
                    <w:rPr>
                      <w:b/>
                      <w:color w:val="000000"/>
                      <w:szCs w:val="21"/>
                    </w:rPr>
                    <w:t>最大储存量</w:t>
                  </w:r>
                </w:p>
              </w:tc>
              <w:tc>
                <w:tcPr>
                  <w:tcW w:w="666" w:type="pct"/>
                  <w:vAlign w:val="center"/>
                </w:tcPr>
                <w:p>
                  <w:pPr>
                    <w:adjustRightInd w:val="0"/>
                    <w:snapToGrid w:val="0"/>
                    <w:jc w:val="center"/>
                    <w:rPr>
                      <w:b/>
                      <w:color w:val="000000"/>
                      <w:szCs w:val="21"/>
                    </w:rPr>
                  </w:pPr>
                  <w:r>
                    <w:rPr>
                      <w:b/>
                      <w:color w:val="000000"/>
                      <w:szCs w:val="21"/>
                    </w:rPr>
                    <w:t>储存地点</w:t>
                  </w:r>
                </w:p>
              </w:tc>
              <w:tc>
                <w:tcPr>
                  <w:tcW w:w="313" w:type="pct"/>
                  <w:vAlign w:val="center"/>
                </w:tcPr>
                <w:p>
                  <w:pPr>
                    <w:adjustRightInd w:val="0"/>
                    <w:snapToGrid w:val="0"/>
                    <w:jc w:val="center"/>
                    <w:rPr>
                      <w:b/>
                      <w:color w:val="000000"/>
                      <w:szCs w:val="21"/>
                    </w:rPr>
                  </w:pPr>
                  <w:r>
                    <w:rPr>
                      <w:b/>
                      <w:color w:val="000000"/>
                      <w:szCs w:val="21"/>
                    </w:rPr>
                    <w:t>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电子元器件</w:t>
                  </w:r>
                </w:p>
              </w:tc>
              <w:tc>
                <w:tcPr>
                  <w:tcW w:w="1317" w:type="pct"/>
                  <w:vAlign w:val="center"/>
                </w:tcPr>
                <w:p>
                  <w:pPr>
                    <w:pStyle w:val="38"/>
                    <w:spacing w:beforeLines="0" w:after="24" w:line="240" w:lineRule="auto"/>
                    <w:ind w:firstLine="0"/>
                    <w:rPr>
                      <w:rFonts w:ascii="Times New Roman" w:eastAsia="宋体"/>
                      <w:bCs/>
                      <w:color w:val="000000"/>
                      <w:szCs w:val="21"/>
                    </w:rPr>
                  </w:pPr>
                  <w:r>
                    <w:rPr>
                      <w:rFonts w:ascii="Times New Roman" w:eastAsia="宋体"/>
                      <w:bCs/>
                      <w:color w:val="000000"/>
                      <w:szCs w:val="21"/>
                    </w:rPr>
                    <w:t>/</w:t>
                  </w:r>
                </w:p>
              </w:tc>
              <w:tc>
                <w:tcPr>
                  <w:tcW w:w="444" w:type="pct"/>
                  <w:vAlign w:val="center"/>
                </w:tcPr>
                <w:p>
                  <w:pPr>
                    <w:pStyle w:val="38"/>
                    <w:spacing w:beforeLines="0" w:after="24" w:line="240" w:lineRule="auto"/>
                    <w:ind w:firstLine="0"/>
                    <w:rPr>
                      <w:rFonts w:ascii="Times New Roman" w:eastAsia="宋体"/>
                      <w:bCs/>
                      <w:color w:val="000000"/>
                      <w:szCs w:val="21"/>
                    </w:rPr>
                  </w:pPr>
                  <w:r>
                    <w:rPr>
                      <w:rFonts w:ascii="Times New Roman" w:eastAsia="宋体"/>
                      <w:bCs/>
                      <w:color w:val="000000"/>
                      <w:szCs w:val="21"/>
                    </w:rPr>
                    <w:t>亿只</w:t>
                  </w:r>
                </w:p>
              </w:tc>
              <w:tc>
                <w:tcPr>
                  <w:tcW w:w="54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1.5</w:t>
                  </w:r>
                </w:p>
              </w:tc>
              <w:tc>
                <w:tcPr>
                  <w:tcW w:w="886" w:type="pct"/>
                  <w:vAlign w:val="center"/>
                </w:tcPr>
                <w:p>
                  <w:pPr>
                    <w:snapToGrid w:val="0"/>
                    <w:jc w:val="center"/>
                    <w:rPr>
                      <w:bCs/>
                      <w:color w:val="000000"/>
                      <w:szCs w:val="21"/>
                    </w:rPr>
                  </w:pPr>
                  <w:r>
                    <w:rPr>
                      <w:rFonts w:hint="eastAsia"/>
                      <w:bCs/>
                      <w:color w:val="000000"/>
                      <w:szCs w:val="21"/>
                    </w:rPr>
                    <w:t>0.3</w:t>
                  </w:r>
                </w:p>
              </w:tc>
              <w:tc>
                <w:tcPr>
                  <w:tcW w:w="666" w:type="pct"/>
                  <w:vMerge w:val="restart"/>
                  <w:vAlign w:val="center"/>
                </w:tcPr>
                <w:p>
                  <w:pPr>
                    <w:snapToGrid w:val="0"/>
                    <w:jc w:val="center"/>
                    <w:rPr>
                      <w:bCs/>
                      <w:color w:val="000000"/>
                      <w:szCs w:val="21"/>
                    </w:rPr>
                  </w:pPr>
                  <w:r>
                    <w:rPr>
                      <w:color w:val="000000"/>
                      <w:szCs w:val="21"/>
                    </w:rPr>
                    <w:t>原料仓库</w:t>
                  </w:r>
                </w:p>
              </w:tc>
              <w:tc>
                <w:tcPr>
                  <w:tcW w:w="313" w:type="pct"/>
                  <w:vMerge w:val="restart"/>
                  <w:vAlign w:val="center"/>
                </w:tcPr>
                <w:p>
                  <w:pPr>
                    <w:adjustRightInd w:val="0"/>
                    <w:snapToGrid w:val="0"/>
                    <w:jc w:val="center"/>
                    <w:rPr>
                      <w:color w:val="000000"/>
                      <w:szCs w:val="21"/>
                    </w:rPr>
                  </w:pPr>
                  <w:r>
                    <w:rPr>
                      <w:color w:val="000000"/>
                      <w:szCs w:val="21"/>
                    </w:rPr>
                    <w:t>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Pcb板</w:t>
                  </w:r>
                </w:p>
              </w:tc>
              <w:tc>
                <w:tcPr>
                  <w:tcW w:w="1317" w:type="pct"/>
                  <w:vAlign w:val="center"/>
                </w:tcPr>
                <w:p>
                  <w:pPr>
                    <w:pStyle w:val="38"/>
                    <w:spacing w:beforeLines="0" w:after="24" w:line="240" w:lineRule="auto"/>
                    <w:ind w:firstLine="0"/>
                    <w:rPr>
                      <w:rFonts w:ascii="Times New Roman" w:eastAsia="宋体"/>
                      <w:bCs/>
                      <w:color w:val="000000"/>
                      <w:szCs w:val="21"/>
                    </w:rPr>
                  </w:pPr>
                  <w:r>
                    <w:rPr>
                      <w:rFonts w:ascii="Times New Roman" w:eastAsia="宋体"/>
                      <w:bCs/>
                      <w:color w:val="000000"/>
                      <w:szCs w:val="21"/>
                    </w:rPr>
                    <w:t>/</w:t>
                  </w:r>
                </w:p>
              </w:tc>
              <w:tc>
                <w:tcPr>
                  <w:tcW w:w="444"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万片</w:t>
                  </w:r>
                </w:p>
              </w:tc>
              <w:tc>
                <w:tcPr>
                  <w:tcW w:w="54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250</w:t>
                  </w:r>
                </w:p>
              </w:tc>
              <w:tc>
                <w:tcPr>
                  <w:tcW w:w="886" w:type="pct"/>
                  <w:vAlign w:val="center"/>
                </w:tcPr>
                <w:p>
                  <w:pPr>
                    <w:widowControl/>
                    <w:snapToGrid w:val="0"/>
                    <w:jc w:val="center"/>
                    <w:rPr>
                      <w:bCs/>
                      <w:color w:val="000000"/>
                      <w:szCs w:val="21"/>
                    </w:rPr>
                  </w:pPr>
                  <w:r>
                    <w:rPr>
                      <w:rFonts w:hint="eastAsia"/>
                      <w:bCs/>
                      <w:color w:val="000000"/>
                      <w:szCs w:val="21"/>
                    </w:rPr>
                    <w:t>5</w:t>
                  </w:r>
                </w:p>
              </w:tc>
              <w:tc>
                <w:tcPr>
                  <w:tcW w:w="666" w:type="pct"/>
                  <w:vMerge w:val="continue"/>
                  <w:vAlign w:val="center"/>
                </w:tcPr>
                <w:p>
                  <w:pPr>
                    <w:widowControl/>
                    <w:snapToGrid w:val="0"/>
                    <w:jc w:val="center"/>
                    <w:rPr>
                      <w:bCs/>
                      <w:color w:val="000000"/>
                      <w:szCs w:val="21"/>
                      <w:highlight w:val="yellow"/>
                    </w:rPr>
                  </w:pPr>
                </w:p>
              </w:tc>
              <w:tc>
                <w:tcPr>
                  <w:tcW w:w="313" w:type="pct"/>
                  <w:vMerge w:val="continue"/>
                  <w:vAlign w:val="center"/>
                </w:tcPr>
                <w:p>
                  <w:pPr>
                    <w:adjustRightInd w:val="0"/>
                    <w:snapToGrid w:val="0"/>
                    <w:jc w:val="center"/>
                    <w:rPr>
                      <w:b/>
                      <w:color w:val="000000"/>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pStyle w:val="38"/>
                    <w:spacing w:beforeLines="0" w:after="24" w:line="240" w:lineRule="auto"/>
                    <w:ind w:firstLine="0"/>
                    <w:rPr>
                      <w:rFonts w:ascii="Times New Roman" w:eastAsia="宋体"/>
                      <w:bCs/>
                      <w:color w:val="000000"/>
                      <w:szCs w:val="21"/>
                    </w:rPr>
                  </w:pPr>
                  <w:r>
                    <w:rPr>
                      <w:rFonts w:ascii="Times New Roman" w:eastAsia="宋体"/>
                      <w:bCs/>
                      <w:color w:val="000000"/>
                      <w:szCs w:val="21"/>
                    </w:rPr>
                    <w:t>塑料件组装壳体</w:t>
                  </w:r>
                </w:p>
              </w:tc>
              <w:tc>
                <w:tcPr>
                  <w:tcW w:w="1317"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塑料件</w:t>
                  </w:r>
                </w:p>
              </w:tc>
              <w:tc>
                <w:tcPr>
                  <w:tcW w:w="444"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万个</w:t>
                  </w:r>
                </w:p>
              </w:tc>
              <w:tc>
                <w:tcPr>
                  <w:tcW w:w="54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250</w:t>
                  </w:r>
                </w:p>
              </w:tc>
              <w:tc>
                <w:tcPr>
                  <w:tcW w:w="886" w:type="pct"/>
                  <w:vAlign w:val="center"/>
                </w:tcPr>
                <w:p>
                  <w:pPr>
                    <w:widowControl/>
                    <w:snapToGrid w:val="0"/>
                    <w:jc w:val="center"/>
                    <w:rPr>
                      <w:bCs/>
                      <w:color w:val="000000"/>
                      <w:szCs w:val="21"/>
                    </w:rPr>
                  </w:pPr>
                  <w:r>
                    <w:rPr>
                      <w:rFonts w:hint="eastAsia"/>
                      <w:bCs/>
                      <w:color w:val="000000"/>
                      <w:szCs w:val="21"/>
                    </w:rPr>
                    <w:t>5</w:t>
                  </w:r>
                </w:p>
              </w:tc>
              <w:tc>
                <w:tcPr>
                  <w:tcW w:w="666" w:type="pct"/>
                  <w:vMerge w:val="continue"/>
                  <w:vAlign w:val="center"/>
                </w:tcPr>
                <w:p>
                  <w:pPr>
                    <w:widowControl/>
                    <w:snapToGrid w:val="0"/>
                    <w:jc w:val="center"/>
                    <w:rPr>
                      <w:bCs/>
                      <w:color w:val="000000"/>
                      <w:szCs w:val="21"/>
                      <w:highlight w:val="yellow"/>
                    </w:rPr>
                  </w:pPr>
                </w:p>
              </w:tc>
              <w:tc>
                <w:tcPr>
                  <w:tcW w:w="313" w:type="pct"/>
                  <w:vMerge w:val="continue"/>
                  <w:vAlign w:val="center"/>
                </w:tcPr>
                <w:p>
                  <w:pPr>
                    <w:adjustRightInd w:val="0"/>
                    <w:snapToGrid w:val="0"/>
                    <w:jc w:val="center"/>
                    <w:rPr>
                      <w:b/>
                      <w:color w:val="000000"/>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spacing w:line="320" w:lineRule="exact"/>
                    <w:jc w:val="center"/>
                    <w:rPr>
                      <w:bCs/>
                      <w:color w:val="000000"/>
                      <w:szCs w:val="21"/>
                    </w:rPr>
                  </w:pPr>
                  <w:r>
                    <w:rPr>
                      <w:rFonts w:hint="eastAsia"/>
                      <w:color w:val="000000"/>
                      <w:szCs w:val="21"/>
                    </w:rPr>
                    <w:t>无铅</w:t>
                  </w:r>
                  <w:r>
                    <w:rPr>
                      <w:color w:val="000000"/>
                      <w:szCs w:val="21"/>
                    </w:rPr>
                    <w:t>锡丝</w:t>
                  </w:r>
                </w:p>
              </w:tc>
              <w:tc>
                <w:tcPr>
                  <w:tcW w:w="1317"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松香2%、活性剂0.16%、锡97.56%、铜0.7%、其他成分0.28%</w:t>
                  </w:r>
                </w:p>
              </w:tc>
              <w:tc>
                <w:tcPr>
                  <w:tcW w:w="444"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t</w:t>
                  </w:r>
                </w:p>
              </w:tc>
              <w:tc>
                <w:tcPr>
                  <w:tcW w:w="54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0.6</w:t>
                  </w:r>
                </w:p>
              </w:tc>
              <w:tc>
                <w:tcPr>
                  <w:tcW w:w="886" w:type="pct"/>
                  <w:vAlign w:val="center"/>
                </w:tcPr>
                <w:p>
                  <w:pPr>
                    <w:adjustRightInd w:val="0"/>
                    <w:snapToGrid w:val="0"/>
                    <w:jc w:val="center"/>
                    <w:rPr>
                      <w:bCs/>
                      <w:color w:val="000000"/>
                      <w:szCs w:val="21"/>
                    </w:rPr>
                  </w:pPr>
                  <w:r>
                    <w:rPr>
                      <w:bCs/>
                      <w:color w:val="000000"/>
                      <w:szCs w:val="21"/>
                    </w:rPr>
                    <w:t>0.</w:t>
                  </w:r>
                  <w:r>
                    <w:rPr>
                      <w:rFonts w:hint="eastAsia"/>
                      <w:bCs/>
                      <w:color w:val="000000"/>
                      <w:szCs w:val="21"/>
                    </w:rPr>
                    <w:t>1</w:t>
                  </w:r>
                </w:p>
              </w:tc>
              <w:tc>
                <w:tcPr>
                  <w:tcW w:w="666" w:type="pct"/>
                  <w:vAlign w:val="center"/>
                </w:tcPr>
                <w:p>
                  <w:pPr>
                    <w:adjustRightInd w:val="0"/>
                    <w:snapToGrid w:val="0"/>
                    <w:jc w:val="center"/>
                    <w:rPr>
                      <w:bCs/>
                      <w:color w:val="000000"/>
                      <w:szCs w:val="21"/>
                    </w:rPr>
                  </w:pPr>
                  <w:r>
                    <w:rPr>
                      <w:color w:val="000000"/>
                      <w:szCs w:val="21"/>
                    </w:rPr>
                    <w:t>原料仓库</w:t>
                  </w:r>
                </w:p>
              </w:tc>
              <w:tc>
                <w:tcPr>
                  <w:tcW w:w="313" w:type="pct"/>
                  <w:vMerge w:val="continue"/>
                  <w:vAlign w:val="center"/>
                </w:tcPr>
                <w:p>
                  <w:pPr>
                    <w:adjustRightInd w:val="0"/>
                    <w:snapToGrid w:val="0"/>
                    <w:jc w:val="center"/>
                    <w:rPr>
                      <w:b/>
                      <w:color w:val="000000"/>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锡棒</w:t>
                  </w:r>
                </w:p>
              </w:tc>
              <w:tc>
                <w:tcPr>
                  <w:tcW w:w="1317"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锡99%，其他成分1%</w:t>
                  </w:r>
                </w:p>
              </w:tc>
              <w:tc>
                <w:tcPr>
                  <w:tcW w:w="444"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t</w:t>
                  </w:r>
                </w:p>
              </w:tc>
              <w:tc>
                <w:tcPr>
                  <w:tcW w:w="54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2</w:t>
                  </w:r>
                </w:p>
              </w:tc>
              <w:tc>
                <w:tcPr>
                  <w:tcW w:w="886" w:type="pct"/>
                  <w:vAlign w:val="center"/>
                </w:tcPr>
                <w:p>
                  <w:pPr>
                    <w:adjustRightInd w:val="0"/>
                    <w:snapToGrid w:val="0"/>
                    <w:jc w:val="center"/>
                    <w:rPr>
                      <w:bCs/>
                      <w:color w:val="000000"/>
                      <w:szCs w:val="21"/>
                    </w:rPr>
                  </w:pPr>
                  <w:r>
                    <w:rPr>
                      <w:rFonts w:hint="eastAsia"/>
                      <w:bCs/>
                      <w:color w:val="000000"/>
                      <w:szCs w:val="21"/>
                    </w:rPr>
                    <w:t>0.3</w:t>
                  </w:r>
                </w:p>
              </w:tc>
              <w:tc>
                <w:tcPr>
                  <w:tcW w:w="666" w:type="pct"/>
                  <w:vAlign w:val="center"/>
                </w:tcPr>
                <w:p>
                  <w:pPr>
                    <w:adjustRightInd w:val="0"/>
                    <w:snapToGrid w:val="0"/>
                    <w:jc w:val="center"/>
                    <w:rPr>
                      <w:bCs/>
                      <w:color w:val="000000"/>
                      <w:szCs w:val="21"/>
                    </w:rPr>
                  </w:pPr>
                  <w:r>
                    <w:rPr>
                      <w:color w:val="000000"/>
                      <w:szCs w:val="21"/>
                    </w:rPr>
                    <w:t>原料仓库</w:t>
                  </w:r>
                </w:p>
              </w:tc>
              <w:tc>
                <w:tcPr>
                  <w:tcW w:w="313" w:type="pct"/>
                  <w:vMerge w:val="continue"/>
                  <w:vAlign w:val="center"/>
                </w:tcPr>
                <w:p>
                  <w:pPr>
                    <w:adjustRightInd w:val="0"/>
                    <w:snapToGrid w:val="0"/>
                    <w:jc w:val="center"/>
                    <w:rPr>
                      <w:b/>
                      <w:color w:val="000000"/>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锡膏</w:t>
                  </w:r>
                </w:p>
              </w:tc>
              <w:tc>
                <w:tcPr>
                  <w:tcW w:w="1317"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 xml:space="preserve">锡 </w:t>
                  </w:r>
                  <w:r>
                    <w:rPr>
                      <w:rFonts w:ascii="Times New Roman" w:eastAsia="宋体"/>
                      <w:bCs/>
                      <w:color w:val="000000"/>
                      <w:szCs w:val="21"/>
                    </w:rPr>
                    <w:t>80</w:t>
                  </w:r>
                  <w:r>
                    <w:rPr>
                      <w:rFonts w:hint="eastAsia" w:ascii="Times New Roman" w:eastAsia="宋体"/>
                      <w:bCs/>
                      <w:color w:val="000000"/>
                      <w:szCs w:val="21"/>
                    </w:rPr>
                    <w:t>～</w:t>
                  </w:r>
                  <w:r>
                    <w:rPr>
                      <w:rFonts w:ascii="Times New Roman" w:eastAsia="宋体"/>
                      <w:bCs/>
                      <w:color w:val="000000"/>
                      <w:szCs w:val="21"/>
                    </w:rPr>
                    <w:t>90</w:t>
                  </w:r>
                  <w:r>
                    <w:rPr>
                      <w:rFonts w:hint="eastAsia" w:ascii="Times New Roman" w:eastAsia="宋体"/>
                      <w:bCs/>
                      <w:color w:val="000000"/>
                      <w:szCs w:val="21"/>
                    </w:rPr>
                    <w:t xml:space="preserve">％、银 </w:t>
                  </w:r>
                  <w:r>
                    <w:rPr>
                      <w:rFonts w:ascii="Times New Roman" w:eastAsia="宋体"/>
                      <w:bCs/>
                      <w:color w:val="000000"/>
                      <w:szCs w:val="21"/>
                    </w:rPr>
                    <w:t>2.7</w:t>
                  </w:r>
                  <w:r>
                    <w:rPr>
                      <w:rFonts w:hint="eastAsia" w:ascii="Times New Roman" w:eastAsia="宋体"/>
                      <w:bCs/>
                      <w:color w:val="000000"/>
                      <w:szCs w:val="21"/>
                    </w:rPr>
                    <w:t>%</w:t>
                  </w:r>
                  <w:r>
                    <w:rPr>
                      <w:rFonts w:ascii="Times New Roman" w:eastAsia="宋体"/>
                      <w:bCs/>
                      <w:color w:val="000000"/>
                      <w:szCs w:val="21"/>
                    </w:rPr>
                    <w:t xml:space="preserve"> </w:t>
                  </w:r>
                </w:p>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铜0.1～3%，松香1～10%，溶剂松香1～10%，有机酸1~5%</w:t>
                  </w:r>
                </w:p>
              </w:tc>
              <w:tc>
                <w:tcPr>
                  <w:tcW w:w="444"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t</w:t>
                  </w:r>
                </w:p>
              </w:tc>
              <w:tc>
                <w:tcPr>
                  <w:tcW w:w="54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0.8</w:t>
                  </w:r>
                </w:p>
              </w:tc>
              <w:tc>
                <w:tcPr>
                  <w:tcW w:w="886" w:type="pct"/>
                  <w:vAlign w:val="center"/>
                </w:tcPr>
                <w:p>
                  <w:pPr>
                    <w:adjustRightInd w:val="0"/>
                    <w:snapToGrid w:val="0"/>
                    <w:jc w:val="center"/>
                    <w:rPr>
                      <w:bCs/>
                      <w:color w:val="000000"/>
                      <w:szCs w:val="21"/>
                    </w:rPr>
                  </w:pPr>
                  <w:r>
                    <w:rPr>
                      <w:rFonts w:hint="eastAsia"/>
                      <w:bCs/>
                      <w:color w:val="000000"/>
                      <w:szCs w:val="21"/>
                    </w:rPr>
                    <w:t>0.05</w:t>
                  </w:r>
                </w:p>
              </w:tc>
              <w:tc>
                <w:tcPr>
                  <w:tcW w:w="666" w:type="pct"/>
                  <w:vAlign w:val="center"/>
                </w:tcPr>
                <w:p>
                  <w:pPr>
                    <w:adjustRightInd w:val="0"/>
                    <w:snapToGrid w:val="0"/>
                    <w:jc w:val="center"/>
                    <w:rPr>
                      <w:color w:val="000000"/>
                      <w:szCs w:val="21"/>
                    </w:rPr>
                  </w:pPr>
                  <w:r>
                    <w:rPr>
                      <w:color w:val="000000"/>
                      <w:szCs w:val="21"/>
                    </w:rPr>
                    <w:t>原料仓库</w:t>
                  </w:r>
                </w:p>
              </w:tc>
              <w:tc>
                <w:tcPr>
                  <w:tcW w:w="313" w:type="pct"/>
                  <w:vMerge w:val="continue"/>
                  <w:vAlign w:val="center"/>
                </w:tcPr>
                <w:p>
                  <w:pPr>
                    <w:adjustRightInd w:val="0"/>
                    <w:snapToGrid w:val="0"/>
                    <w:jc w:val="center"/>
                    <w:rPr>
                      <w:b/>
                      <w:color w:val="000000"/>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spacing w:line="320" w:lineRule="exact"/>
                    <w:jc w:val="center"/>
                    <w:rPr>
                      <w:bCs/>
                      <w:color w:val="000000"/>
                      <w:szCs w:val="21"/>
                    </w:rPr>
                  </w:pPr>
                  <w:r>
                    <w:rPr>
                      <w:rFonts w:hint="eastAsia"/>
                      <w:color w:val="000000"/>
                      <w:szCs w:val="21"/>
                    </w:rPr>
                    <w:t>三防漆清洗剂</w:t>
                  </w:r>
                </w:p>
              </w:tc>
              <w:tc>
                <w:tcPr>
                  <w:tcW w:w="1317"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反式</w:t>
                  </w:r>
                  <w:r>
                    <w:rPr>
                      <w:rFonts w:ascii="Times New Roman" w:eastAsia="宋体"/>
                      <w:bCs/>
                      <w:color w:val="000000"/>
                      <w:szCs w:val="21"/>
                    </w:rPr>
                    <w:t>-1,2-</w:t>
                  </w:r>
                  <w:r>
                    <w:rPr>
                      <w:rFonts w:hint="eastAsia" w:ascii="Times New Roman" w:eastAsia="宋体"/>
                      <w:bCs/>
                      <w:color w:val="000000"/>
                      <w:szCs w:val="21"/>
                    </w:rPr>
                    <w:t>二氯乙烯＞</w:t>
                  </w:r>
                  <w:r>
                    <w:rPr>
                      <w:rFonts w:ascii="Times New Roman" w:eastAsia="宋体"/>
                      <w:bCs/>
                      <w:color w:val="000000"/>
                      <w:szCs w:val="21"/>
                    </w:rPr>
                    <w:t>70%</w:t>
                  </w:r>
                  <w:r>
                    <w:rPr>
                      <w:rFonts w:hint="eastAsia" w:ascii="Times New Roman" w:eastAsia="宋体"/>
                      <w:bCs/>
                      <w:color w:val="000000"/>
                      <w:szCs w:val="21"/>
                    </w:rPr>
                    <w:t>、功能活性剂</w:t>
                  </w:r>
                  <w:r>
                    <w:rPr>
                      <w:rFonts w:ascii="Times New Roman" w:eastAsia="宋体"/>
                      <w:bCs/>
                      <w:color w:val="000000"/>
                      <w:szCs w:val="21"/>
                    </w:rPr>
                    <w:t>5-30%</w:t>
                  </w:r>
                </w:p>
              </w:tc>
              <w:tc>
                <w:tcPr>
                  <w:tcW w:w="444"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t</w:t>
                  </w:r>
                </w:p>
              </w:tc>
              <w:tc>
                <w:tcPr>
                  <w:tcW w:w="54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0.6</w:t>
                  </w:r>
                </w:p>
              </w:tc>
              <w:tc>
                <w:tcPr>
                  <w:tcW w:w="886" w:type="pct"/>
                  <w:vAlign w:val="center"/>
                </w:tcPr>
                <w:p>
                  <w:pPr>
                    <w:adjustRightInd w:val="0"/>
                    <w:snapToGrid w:val="0"/>
                    <w:jc w:val="center"/>
                    <w:rPr>
                      <w:bCs/>
                      <w:color w:val="000000"/>
                      <w:szCs w:val="21"/>
                    </w:rPr>
                  </w:pPr>
                  <w:r>
                    <w:rPr>
                      <w:rFonts w:hint="eastAsia"/>
                      <w:bCs/>
                      <w:color w:val="000000"/>
                      <w:szCs w:val="21"/>
                    </w:rPr>
                    <w:t>0.1</w:t>
                  </w:r>
                </w:p>
              </w:tc>
              <w:tc>
                <w:tcPr>
                  <w:tcW w:w="666" w:type="pct"/>
                  <w:vAlign w:val="center"/>
                </w:tcPr>
                <w:p>
                  <w:pPr>
                    <w:adjustRightInd w:val="0"/>
                    <w:snapToGrid w:val="0"/>
                    <w:jc w:val="center"/>
                    <w:rPr>
                      <w:bCs/>
                      <w:color w:val="000000"/>
                      <w:szCs w:val="21"/>
                    </w:rPr>
                  </w:pPr>
                  <w:r>
                    <w:rPr>
                      <w:rFonts w:hint="eastAsia"/>
                      <w:bCs/>
                      <w:color w:val="000000"/>
                      <w:szCs w:val="21"/>
                    </w:rPr>
                    <w:t>危险品仓库</w:t>
                  </w:r>
                </w:p>
              </w:tc>
              <w:tc>
                <w:tcPr>
                  <w:tcW w:w="313" w:type="pct"/>
                  <w:vMerge w:val="continue"/>
                  <w:vAlign w:val="center"/>
                </w:tcPr>
                <w:p>
                  <w:pPr>
                    <w:adjustRightInd w:val="0"/>
                    <w:snapToGrid w:val="0"/>
                    <w:jc w:val="center"/>
                    <w:rPr>
                      <w:b/>
                      <w:color w:val="000000"/>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spacing w:line="320" w:lineRule="exact"/>
                    <w:jc w:val="center"/>
                    <w:rPr>
                      <w:color w:val="000000"/>
                      <w:szCs w:val="21"/>
                    </w:rPr>
                  </w:pPr>
                  <w:r>
                    <w:rPr>
                      <w:color w:val="000000"/>
                      <w:szCs w:val="21"/>
                    </w:rPr>
                    <w:t>助焊剂</w:t>
                  </w:r>
                </w:p>
              </w:tc>
              <w:tc>
                <w:tcPr>
                  <w:tcW w:w="1317" w:type="pct"/>
                  <w:vAlign w:val="center"/>
                </w:tcPr>
                <w:p>
                  <w:pPr>
                    <w:snapToGrid w:val="0"/>
                    <w:jc w:val="center"/>
                    <w:rPr>
                      <w:color w:val="000000"/>
                      <w:szCs w:val="21"/>
                    </w:rPr>
                  </w:pPr>
                  <w:r>
                    <w:rPr>
                      <w:rFonts w:hint="eastAsia"/>
                      <w:color w:val="000000"/>
                      <w:szCs w:val="21"/>
                    </w:rPr>
                    <w:t>戊二酸0.8%、松香0.7%、甲氧苄啶0.9%、</w:t>
                  </w:r>
                </w:p>
                <w:p>
                  <w:pPr>
                    <w:snapToGrid w:val="0"/>
                    <w:jc w:val="center"/>
                    <w:rPr>
                      <w:color w:val="000000"/>
                      <w:szCs w:val="21"/>
                    </w:rPr>
                  </w:pPr>
                  <w:r>
                    <w:rPr>
                      <w:rFonts w:hint="eastAsia"/>
                      <w:color w:val="000000"/>
                      <w:szCs w:val="21"/>
                    </w:rPr>
                    <w:t>丁二酸0.7%、己二酸0.3%、乙二醇单丁醚</w:t>
                  </w:r>
                </w:p>
                <w:p>
                  <w:pPr>
                    <w:snapToGrid w:val="0"/>
                    <w:jc w:val="center"/>
                    <w:rPr>
                      <w:color w:val="000000"/>
                      <w:szCs w:val="21"/>
                    </w:rPr>
                  </w:pPr>
                  <w:r>
                    <w:rPr>
                      <w:rFonts w:hint="eastAsia"/>
                      <w:color w:val="000000"/>
                      <w:szCs w:val="21"/>
                    </w:rPr>
                    <w:t>0.6%、异丙醇、无水乙</w:t>
                  </w:r>
                </w:p>
                <w:p>
                  <w:pPr>
                    <w:snapToGrid w:val="0"/>
                    <w:jc w:val="center"/>
                    <w:rPr>
                      <w:color w:val="000000"/>
                      <w:szCs w:val="21"/>
                    </w:rPr>
                  </w:pPr>
                  <w:r>
                    <w:rPr>
                      <w:rFonts w:hint="eastAsia"/>
                      <w:color w:val="000000"/>
                      <w:szCs w:val="21"/>
                    </w:rPr>
                    <w:t>醇96.0%</w:t>
                  </w:r>
                </w:p>
              </w:tc>
              <w:tc>
                <w:tcPr>
                  <w:tcW w:w="444" w:type="pct"/>
                  <w:vAlign w:val="center"/>
                </w:tcPr>
                <w:p>
                  <w:pPr>
                    <w:snapToGrid w:val="0"/>
                    <w:jc w:val="center"/>
                    <w:rPr>
                      <w:color w:val="000000"/>
                      <w:szCs w:val="21"/>
                    </w:rPr>
                  </w:pPr>
                  <w:r>
                    <w:rPr>
                      <w:rFonts w:hint="eastAsia"/>
                      <w:bCs/>
                      <w:color w:val="000000"/>
                      <w:szCs w:val="21"/>
                    </w:rPr>
                    <w:t>t</w:t>
                  </w:r>
                </w:p>
              </w:tc>
              <w:tc>
                <w:tcPr>
                  <w:tcW w:w="541" w:type="pct"/>
                  <w:vAlign w:val="center"/>
                </w:tcPr>
                <w:p>
                  <w:pPr>
                    <w:snapToGrid w:val="0"/>
                    <w:jc w:val="center"/>
                    <w:rPr>
                      <w:color w:val="000000"/>
                      <w:szCs w:val="21"/>
                    </w:rPr>
                  </w:pPr>
                  <w:r>
                    <w:rPr>
                      <w:rFonts w:hint="eastAsia"/>
                      <w:color w:val="000000"/>
                      <w:szCs w:val="21"/>
                    </w:rPr>
                    <w:t>0.8</w:t>
                  </w:r>
                </w:p>
              </w:tc>
              <w:tc>
                <w:tcPr>
                  <w:tcW w:w="886" w:type="pct"/>
                  <w:vAlign w:val="center"/>
                </w:tcPr>
                <w:p>
                  <w:pPr>
                    <w:widowControl/>
                    <w:snapToGrid w:val="0"/>
                    <w:jc w:val="center"/>
                    <w:rPr>
                      <w:color w:val="000000"/>
                      <w:szCs w:val="21"/>
                    </w:rPr>
                  </w:pPr>
                  <w:r>
                    <w:rPr>
                      <w:color w:val="000000"/>
                      <w:szCs w:val="21"/>
                    </w:rPr>
                    <w:t>0.1</w:t>
                  </w:r>
                </w:p>
              </w:tc>
              <w:tc>
                <w:tcPr>
                  <w:tcW w:w="666" w:type="pct"/>
                  <w:vAlign w:val="center"/>
                </w:tcPr>
                <w:p>
                  <w:pPr>
                    <w:widowControl/>
                    <w:snapToGrid w:val="0"/>
                    <w:jc w:val="center"/>
                    <w:rPr>
                      <w:color w:val="000000"/>
                      <w:szCs w:val="21"/>
                    </w:rPr>
                  </w:pPr>
                  <w:r>
                    <w:rPr>
                      <w:color w:val="000000"/>
                      <w:szCs w:val="21"/>
                    </w:rPr>
                    <w:t>原料仓库</w:t>
                  </w:r>
                </w:p>
              </w:tc>
              <w:tc>
                <w:tcPr>
                  <w:tcW w:w="313" w:type="pct"/>
                  <w:vMerge w:val="continue"/>
                  <w:vAlign w:val="center"/>
                </w:tcPr>
                <w:p>
                  <w:pPr>
                    <w:adjustRightInd w:val="0"/>
                    <w:snapToGrid w:val="0"/>
                    <w:jc w:val="center"/>
                    <w:rPr>
                      <w:b/>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spacing w:line="320" w:lineRule="exact"/>
                    <w:jc w:val="center"/>
                    <w:rPr>
                      <w:color w:val="000000"/>
                      <w:szCs w:val="21"/>
                    </w:rPr>
                  </w:pPr>
                  <w:r>
                    <w:rPr>
                      <w:color w:val="000000"/>
                      <w:szCs w:val="21"/>
                    </w:rPr>
                    <w:t>三防漆</w:t>
                  </w:r>
                </w:p>
              </w:tc>
              <w:tc>
                <w:tcPr>
                  <w:tcW w:w="1317" w:type="pct"/>
                  <w:vAlign w:val="center"/>
                </w:tcPr>
                <w:p>
                  <w:pPr>
                    <w:snapToGrid w:val="0"/>
                    <w:jc w:val="center"/>
                    <w:rPr>
                      <w:color w:val="000000"/>
                      <w:szCs w:val="21"/>
                    </w:rPr>
                  </w:pPr>
                  <w:r>
                    <w:rPr>
                      <w:rFonts w:hint="eastAsia"/>
                      <w:color w:val="000000"/>
                      <w:szCs w:val="21"/>
                    </w:rPr>
                    <w:t>石脑油40%、脱芳烃溶剂油60%</w:t>
                  </w:r>
                </w:p>
              </w:tc>
              <w:tc>
                <w:tcPr>
                  <w:tcW w:w="444" w:type="pct"/>
                  <w:vAlign w:val="center"/>
                </w:tcPr>
                <w:p>
                  <w:pPr>
                    <w:snapToGrid w:val="0"/>
                    <w:jc w:val="center"/>
                    <w:rPr>
                      <w:color w:val="000000"/>
                      <w:szCs w:val="21"/>
                    </w:rPr>
                  </w:pPr>
                  <w:r>
                    <w:rPr>
                      <w:rFonts w:hint="eastAsia"/>
                      <w:bCs/>
                      <w:color w:val="000000"/>
                      <w:szCs w:val="21"/>
                    </w:rPr>
                    <w:t>t</w:t>
                  </w:r>
                </w:p>
              </w:tc>
              <w:tc>
                <w:tcPr>
                  <w:tcW w:w="541" w:type="pct"/>
                  <w:vAlign w:val="center"/>
                </w:tcPr>
                <w:p>
                  <w:pPr>
                    <w:snapToGrid w:val="0"/>
                    <w:jc w:val="center"/>
                    <w:rPr>
                      <w:color w:val="000000"/>
                      <w:szCs w:val="21"/>
                    </w:rPr>
                  </w:pPr>
                  <w:r>
                    <w:rPr>
                      <w:rFonts w:hint="eastAsia"/>
                      <w:color w:val="000000"/>
                      <w:szCs w:val="21"/>
                    </w:rPr>
                    <w:t>0.4</w:t>
                  </w:r>
                </w:p>
              </w:tc>
              <w:tc>
                <w:tcPr>
                  <w:tcW w:w="886" w:type="pct"/>
                  <w:vAlign w:val="center"/>
                </w:tcPr>
                <w:p>
                  <w:pPr>
                    <w:widowControl/>
                    <w:snapToGrid w:val="0"/>
                    <w:jc w:val="center"/>
                    <w:rPr>
                      <w:color w:val="000000"/>
                      <w:szCs w:val="21"/>
                    </w:rPr>
                  </w:pPr>
                  <w:r>
                    <w:rPr>
                      <w:rFonts w:hint="eastAsia"/>
                      <w:color w:val="000000"/>
                      <w:szCs w:val="21"/>
                    </w:rPr>
                    <w:t>0.01</w:t>
                  </w:r>
                </w:p>
              </w:tc>
              <w:tc>
                <w:tcPr>
                  <w:tcW w:w="666" w:type="pct"/>
                  <w:vAlign w:val="center"/>
                </w:tcPr>
                <w:p>
                  <w:pPr>
                    <w:widowControl/>
                    <w:snapToGrid w:val="0"/>
                    <w:jc w:val="center"/>
                    <w:rPr>
                      <w:bCs/>
                      <w:color w:val="000000"/>
                      <w:szCs w:val="21"/>
                    </w:rPr>
                  </w:pPr>
                  <w:r>
                    <w:rPr>
                      <w:rFonts w:hint="eastAsia"/>
                      <w:bCs/>
                      <w:color w:val="000000"/>
                      <w:szCs w:val="21"/>
                    </w:rPr>
                    <w:t>危险品仓库</w:t>
                  </w:r>
                </w:p>
              </w:tc>
              <w:tc>
                <w:tcPr>
                  <w:tcW w:w="313" w:type="pct"/>
                  <w:vMerge w:val="continue"/>
                  <w:vAlign w:val="center"/>
                </w:tcPr>
                <w:p>
                  <w:pPr>
                    <w:adjustRightInd w:val="0"/>
                    <w:snapToGrid w:val="0"/>
                    <w:jc w:val="center"/>
                    <w:rPr>
                      <w:b/>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spacing w:line="320" w:lineRule="exact"/>
                    <w:jc w:val="center"/>
                    <w:rPr>
                      <w:color w:val="000000"/>
                      <w:szCs w:val="21"/>
                    </w:rPr>
                  </w:pPr>
                  <w:r>
                    <w:rPr>
                      <w:rFonts w:hint="eastAsia"/>
                      <w:color w:val="000000"/>
                      <w:szCs w:val="21"/>
                    </w:rPr>
                    <w:t>固定白胶</w:t>
                  </w:r>
                </w:p>
              </w:tc>
              <w:tc>
                <w:tcPr>
                  <w:tcW w:w="1317" w:type="pct"/>
                  <w:vAlign w:val="center"/>
                </w:tcPr>
                <w:p>
                  <w:pPr>
                    <w:snapToGrid w:val="0"/>
                    <w:jc w:val="center"/>
                    <w:rPr>
                      <w:color w:val="000000"/>
                      <w:szCs w:val="21"/>
                    </w:rPr>
                  </w:pPr>
                  <w:r>
                    <w:rPr>
                      <w:rFonts w:hint="eastAsia"/>
                      <w:color w:val="000000"/>
                      <w:szCs w:val="21"/>
                    </w:rPr>
                    <w:t>碳酸钙20%、氢氧化铝20%、甲基三甲氧基硅烷5%、聚硅氧烷50%</w:t>
                  </w:r>
                </w:p>
              </w:tc>
              <w:tc>
                <w:tcPr>
                  <w:tcW w:w="444" w:type="pct"/>
                  <w:vAlign w:val="center"/>
                </w:tcPr>
                <w:p>
                  <w:pPr>
                    <w:snapToGrid w:val="0"/>
                    <w:jc w:val="center"/>
                    <w:rPr>
                      <w:color w:val="000000"/>
                      <w:szCs w:val="21"/>
                    </w:rPr>
                  </w:pPr>
                  <w:r>
                    <w:rPr>
                      <w:rFonts w:hint="eastAsia"/>
                      <w:color w:val="000000"/>
                      <w:szCs w:val="21"/>
                    </w:rPr>
                    <w:t>t</w:t>
                  </w:r>
                </w:p>
              </w:tc>
              <w:tc>
                <w:tcPr>
                  <w:tcW w:w="541" w:type="pct"/>
                  <w:vAlign w:val="center"/>
                </w:tcPr>
                <w:p>
                  <w:pPr>
                    <w:snapToGrid w:val="0"/>
                    <w:jc w:val="center"/>
                    <w:rPr>
                      <w:color w:val="000000"/>
                      <w:szCs w:val="21"/>
                    </w:rPr>
                  </w:pPr>
                  <w:r>
                    <w:rPr>
                      <w:rFonts w:hint="eastAsia"/>
                      <w:color w:val="000000"/>
                      <w:szCs w:val="21"/>
                    </w:rPr>
                    <w:t>1.2</w:t>
                  </w:r>
                </w:p>
              </w:tc>
              <w:tc>
                <w:tcPr>
                  <w:tcW w:w="886" w:type="pct"/>
                  <w:vAlign w:val="center"/>
                </w:tcPr>
                <w:p>
                  <w:pPr>
                    <w:widowControl/>
                    <w:snapToGrid w:val="0"/>
                    <w:jc w:val="center"/>
                    <w:rPr>
                      <w:color w:val="000000"/>
                      <w:szCs w:val="21"/>
                    </w:rPr>
                  </w:pPr>
                  <w:r>
                    <w:rPr>
                      <w:rFonts w:hint="eastAsia"/>
                      <w:color w:val="000000"/>
                      <w:szCs w:val="21"/>
                    </w:rPr>
                    <w:t>0.1</w:t>
                  </w:r>
                </w:p>
              </w:tc>
              <w:tc>
                <w:tcPr>
                  <w:tcW w:w="666" w:type="pct"/>
                  <w:vAlign w:val="center"/>
                </w:tcPr>
                <w:p>
                  <w:pPr>
                    <w:widowControl/>
                    <w:snapToGrid w:val="0"/>
                    <w:jc w:val="center"/>
                    <w:rPr>
                      <w:bCs/>
                      <w:color w:val="000000"/>
                      <w:szCs w:val="21"/>
                    </w:rPr>
                  </w:pPr>
                  <w:r>
                    <w:rPr>
                      <w:color w:val="000000"/>
                      <w:szCs w:val="21"/>
                    </w:rPr>
                    <w:t>原料仓库</w:t>
                  </w:r>
                </w:p>
              </w:tc>
              <w:tc>
                <w:tcPr>
                  <w:tcW w:w="313" w:type="pct"/>
                  <w:vMerge w:val="continue"/>
                  <w:vAlign w:val="center"/>
                </w:tcPr>
                <w:p>
                  <w:pPr>
                    <w:adjustRightInd w:val="0"/>
                    <w:snapToGrid w:val="0"/>
                    <w:jc w:val="center"/>
                    <w:rPr>
                      <w:b/>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spacing w:line="320" w:lineRule="exact"/>
                    <w:jc w:val="center"/>
                    <w:rPr>
                      <w:color w:val="000000"/>
                      <w:szCs w:val="21"/>
                    </w:rPr>
                  </w:pPr>
                  <w:r>
                    <w:rPr>
                      <w:rFonts w:hint="eastAsia"/>
                      <w:color w:val="000000"/>
                      <w:szCs w:val="21"/>
                      <w:lang w:val="en-US" w:eastAsia="zh-CN"/>
                    </w:rPr>
                    <w:t>网版</w:t>
                  </w:r>
                  <w:r>
                    <w:rPr>
                      <w:rFonts w:hint="eastAsia"/>
                      <w:color w:val="000000"/>
                      <w:szCs w:val="21"/>
                    </w:rPr>
                    <w:t>清洗剂</w:t>
                  </w:r>
                </w:p>
              </w:tc>
              <w:tc>
                <w:tcPr>
                  <w:tcW w:w="1317" w:type="pct"/>
                  <w:vAlign w:val="center"/>
                </w:tcPr>
                <w:p>
                  <w:pPr>
                    <w:snapToGrid w:val="0"/>
                    <w:jc w:val="center"/>
                    <w:rPr>
                      <w:color w:val="000000"/>
                      <w:szCs w:val="21"/>
                    </w:rPr>
                  </w:pPr>
                  <w:r>
                    <w:rPr>
                      <w:rFonts w:hint="eastAsia"/>
                      <w:color w:val="000000"/>
                      <w:szCs w:val="21"/>
                      <w:lang w:val="en-US" w:eastAsia="zh-CN"/>
                    </w:rPr>
                    <w:t>异丙醇40%，</w:t>
                  </w:r>
                  <w:r>
                    <w:rPr>
                      <w:rFonts w:hint="eastAsia"/>
                      <w:color w:val="000000"/>
                      <w:szCs w:val="21"/>
                    </w:rPr>
                    <w:t>水</w:t>
                  </w:r>
                  <w:r>
                    <w:rPr>
                      <w:rFonts w:hint="eastAsia"/>
                      <w:color w:val="000000"/>
                      <w:szCs w:val="21"/>
                      <w:lang w:val="en-US" w:eastAsia="zh-CN"/>
                    </w:rPr>
                    <w:t>60</w:t>
                  </w:r>
                  <w:r>
                    <w:rPr>
                      <w:rFonts w:hint="eastAsia"/>
                      <w:color w:val="000000"/>
                      <w:szCs w:val="21"/>
                    </w:rPr>
                    <w:t>%</w:t>
                  </w:r>
                </w:p>
              </w:tc>
              <w:tc>
                <w:tcPr>
                  <w:tcW w:w="444" w:type="pct"/>
                  <w:vAlign w:val="center"/>
                </w:tcPr>
                <w:p>
                  <w:pPr>
                    <w:snapToGrid w:val="0"/>
                    <w:jc w:val="center"/>
                    <w:rPr>
                      <w:color w:val="000000"/>
                      <w:szCs w:val="21"/>
                    </w:rPr>
                  </w:pPr>
                  <w:r>
                    <w:rPr>
                      <w:rFonts w:hint="eastAsia"/>
                      <w:bCs/>
                      <w:color w:val="000000"/>
                      <w:szCs w:val="21"/>
                    </w:rPr>
                    <w:t>t</w:t>
                  </w:r>
                </w:p>
              </w:tc>
              <w:tc>
                <w:tcPr>
                  <w:tcW w:w="541" w:type="pct"/>
                  <w:vAlign w:val="center"/>
                </w:tcPr>
                <w:p>
                  <w:pPr>
                    <w:snapToGrid w:val="0"/>
                    <w:jc w:val="center"/>
                    <w:rPr>
                      <w:rFonts w:hint="eastAsia" w:eastAsia="宋体"/>
                      <w:color w:val="000000"/>
                      <w:szCs w:val="21"/>
                      <w:lang w:eastAsia="zh-CN"/>
                    </w:rPr>
                  </w:pPr>
                  <w:r>
                    <w:rPr>
                      <w:rFonts w:hint="eastAsia"/>
                      <w:color w:val="000000"/>
                      <w:szCs w:val="21"/>
                      <w:lang w:val="en-US" w:eastAsia="zh-CN"/>
                    </w:rPr>
                    <w:t>1</w:t>
                  </w:r>
                </w:p>
              </w:tc>
              <w:tc>
                <w:tcPr>
                  <w:tcW w:w="886" w:type="pct"/>
                  <w:vAlign w:val="center"/>
                </w:tcPr>
                <w:p>
                  <w:pPr>
                    <w:widowControl/>
                    <w:snapToGrid w:val="0"/>
                    <w:jc w:val="center"/>
                    <w:rPr>
                      <w:color w:val="000000"/>
                      <w:szCs w:val="21"/>
                    </w:rPr>
                  </w:pPr>
                  <w:r>
                    <w:rPr>
                      <w:rFonts w:hint="eastAsia"/>
                      <w:color w:val="000000"/>
                      <w:szCs w:val="21"/>
                    </w:rPr>
                    <w:t>0.05</w:t>
                  </w:r>
                </w:p>
              </w:tc>
              <w:tc>
                <w:tcPr>
                  <w:tcW w:w="666" w:type="pct"/>
                  <w:vAlign w:val="center"/>
                </w:tcPr>
                <w:p>
                  <w:pPr>
                    <w:widowControl/>
                    <w:snapToGrid w:val="0"/>
                    <w:jc w:val="center"/>
                    <w:rPr>
                      <w:bCs/>
                      <w:color w:val="000000"/>
                      <w:szCs w:val="21"/>
                    </w:rPr>
                  </w:pPr>
                  <w:r>
                    <w:rPr>
                      <w:rFonts w:hint="eastAsia"/>
                      <w:bCs/>
                      <w:color w:val="000000"/>
                      <w:szCs w:val="21"/>
                    </w:rPr>
                    <w:t>危险品仓库</w:t>
                  </w:r>
                </w:p>
              </w:tc>
              <w:tc>
                <w:tcPr>
                  <w:tcW w:w="313" w:type="pct"/>
                  <w:vMerge w:val="continue"/>
                  <w:vAlign w:val="center"/>
                </w:tcPr>
                <w:p>
                  <w:pPr>
                    <w:adjustRightInd w:val="0"/>
                    <w:snapToGrid w:val="0"/>
                    <w:jc w:val="center"/>
                    <w:rPr>
                      <w:b/>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0" w:type="pct"/>
                  <w:vAlign w:val="center"/>
                </w:tcPr>
                <w:p>
                  <w:pPr>
                    <w:spacing w:line="320" w:lineRule="exact"/>
                    <w:jc w:val="center"/>
                    <w:rPr>
                      <w:color w:val="000000"/>
                      <w:szCs w:val="21"/>
                    </w:rPr>
                  </w:pPr>
                  <w:r>
                    <w:rPr>
                      <w:rFonts w:hint="eastAsia"/>
                      <w:color w:val="000000"/>
                      <w:szCs w:val="21"/>
                    </w:rPr>
                    <w:t>润滑油</w:t>
                  </w:r>
                </w:p>
              </w:tc>
              <w:tc>
                <w:tcPr>
                  <w:tcW w:w="1317" w:type="pct"/>
                  <w:vAlign w:val="center"/>
                </w:tcPr>
                <w:p>
                  <w:pPr>
                    <w:snapToGrid w:val="0"/>
                    <w:jc w:val="center"/>
                    <w:rPr>
                      <w:color w:val="000000"/>
                      <w:szCs w:val="21"/>
                    </w:rPr>
                  </w:pPr>
                  <w:r>
                    <w:rPr>
                      <w:rFonts w:hint="eastAsia"/>
                      <w:color w:val="000000"/>
                      <w:szCs w:val="21"/>
                    </w:rPr>
                    <w:t>基础油及添加剂</w:t>
                  </w:r>
                </w:p>
              </w:tc>
              <w:tc>
                <w:tcPr>
                  <w:tcW w:w="444" w:type="pct"/>
                  <w:vAlign w:val="center"/>
                </w:tcPr>
                <w:p>
                  <w:pPr>
                    <w:snapToGrid w:val="0"/>
                    <w:jc w:val="center"/>
                    <w:rPr>
                      <w:bCs/>
                      <w:color w:val="000000"/>
                      <w:szCs w:val="21"/>
                    </w:rPr>
                  </w:pPr>
                  <w:r>
                    <w:rPr>
                      <w:rFonts w:hint="eastAsia"/>
                      <w:bCs/>
                      <w:color w:val="000000"/>
                      <w:szCs w:val="21"/>
                    </w:rPr>
                    <w:t>t</w:t>
                  </w:r>
                </w:p>
              </w:tc>
              <w:tc>
                <w:tcPr>
                  <w:tcW w:w="541" w:type="pct"/>
                  <w:vAlign w:val="center"/>
                </w:tcPr>
                <w:p>
                  <w:pPr>
                    <w:snapToGrid w:val="0"/>
                    <w:jc w:val="center"/>
                    <w:rPr>
                      <w:color w:val="000000"/>
                      <w:szCs w:val="21"/>
                    </w:rPr>
                  </w:pPr>
                  <w:r>
                    <w:rPr>
                      <w:rFonts w:hint="eastAsia"/>
                      <w:color w:val="000000"/>
                      <w:szCs w:val="21"/>
                    </w:rPr>
                    <w:t>1</w:t>
                  </w:r>
                </w:p>
              </w:tc>
              <w:tc>
                <w:tcPr>
                  <w:tcW w:w="886" w:type="pct"/>
                  <w:vAlign w:val="center"/>
                </w:tcPr>
                <w:p>
                  <w:pPr>
                    <w:widowControl/>
                    <w:snapToGrid w:val="0"/>
                    <w:jc w:val="center"/>
                    <w:rPr>
                      <w:color w:val="000000"/>
                      <w:szCs w:val="21"/>
                    </w:rPr>
                  </w:pPr>
                  <w:r>
                    <w:rPr>
                      <w:rFonts w:hint="eastAsia"/>
                      <w:color w:val="000000"/>
                      <w:szCs w:val="21"/>
                    </w:rPr>
                    <w:t>0.05</w:t>
                  </w:r>
                </w:p>
              </w:tc>
              <w:tc>
                <w:tcPr>
                  <w:tcW w:w="666" w:type="pct"/>
                  <w:vAlign w:val="center"/>
                </w:tcPr>
                <w:p>
                  <w:pPr>
                    <w:widowControl/>
                    <w:snapToGrid w:val="0"/>
                    <w:jc w:val="center"/>
                    <w:rPr>
                      <w:color w:val="000000"/>
                      <w:szCs w:val="21"/>
                    </w:rPr>
                  </w:pPr>
                  <w:r>
                    <w:rPr>
                      <w:color w:val="000000"/>
                      <w:szCs w:val="21"/>
                    </w:rPr>
                    <w:t>原料仓库</w:t>
                  </w:r>
                </w:p>
              </w:tc>
              <w:tc>
                <w:tcPr>
                  <w:tcW w:w="313" w:type="pct"/>
                  <w:vMerge w:val="continue"/>
                  <w:vAlign w:val="center"/>
                </w:tcPr>
                <w:p>
                  <w:pPr>
                    <w:adjustRightInd w:val="0"/>
                    <w:snapToGrid w:val="0"/>
                    <w:jc w:val="center"/>
                    <w:rPr>
                      <w:b/>
                      <w:color w:val="000000"/>
                      <w:szCs w:val="21"/>
                    </w:rPr>
                  </w:pPr>
                </w:p>
              </w:tc>
            </w:tr>
          </w:tbl>
          <w:p>
            <w:pPr>
              <w:spacing w:line="360" w:lineRule="auto"/>
              <w:ind w:firstLine="480" w:firstLineChars="200"/>
              <w:jc w:val="left"/>
              <w:rPr>
                <w:color w:val="000000"/>
                <w:sz w:val="24"/>
              </w:rPr>
            </w:pPr>
            <w:r>
              <w:rPr>
                <w:color w:val="000000"/>
                <w:sz w:val="24"/>
              </w:rPr>
              <w:t>项目主要原辅料理化性质及危险特性见表2-5。</w:t>
            </w:r>
          </w:p>
          <w:p>
            <w:pPr>
              <w:tabs>
                <w:tab w:val="left" w:pos="1159"/>
              </w:tabs>
              <w:spacing w:before="60"/>
              <w:jc w:val="center"/>
              <w:rPr>
                <w:b/>
                <w:color w:val="000000"/>
                <w:sz w:val="24"/>
              </w:rPr>
            </w:pPr>
            <w:r>
              <w:rPr>
                <w:b/>
                <w:color w:val="000000"/>
                <w:sz w:val="24"/>
              </w:rPr>
              <w:t>表2-5  主要原辅料理化性质及毒性毒理</w:t>
            </w:r>
          </w:p>
          <w:tbl>
            <w:tblPr>
              <w:tblStyle w:val="20"/>
              <w:tblW w:w="4991"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3570"/>
              <w:gridCol w:w="1537"/>
              <w:gridCol w:w="22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jc w:val="center"/>
                    <w:rPr>
                      <w:b/>
                      <w:bCs/>
                      <w:color w:val="000000"/>
                      <w:szCs w:val="21"/>
                    </w:rPr>
                  </w:pPr>
                  <w:r>
                    <w:rPr>
                      <w:b/>
                      <w:bCs/>
                      <w:color w:val="000000"/>
                      <w:szCs w:val="21"/>
                    </w:rPr>
                    <w:t>名称</w:t>
                  </w:r>
                </w:p>
              </w:tc>
              <w:tc>
                <w:tcPr>
                  <w:tcW w:w="2104" w:type="pct"/>
                  <w:vAlign w:val="center"/>
                </w:tcPr>
                <w:p>
                  <w:pPr>
                    <w:jc w:val="center"/>
                    <w:rPr>
                      <w:b/>
                      <w:bCs/>
                      <w:color w:val="000000"/>
                      <w:szCs w:val="21"/>
                    </w:rPr>
                  </w:pPr>
                  <w:r>
                    <w:rPr>
                      <w:b/>
                      <w:bCs/>
                      <w:color w:val="000000"/>
                      <w:szCs w:val="21"/>
                    </w:rPr>
                    <w:t>理化性质</w:t>
                  </w:r>
                </w:p>
              </w:tc>
              <w:tc>
                <w:tcPr>
                  <w:tcW w:w="906" w:type="pct"/>
                  <w:vAlign w:val="center"/>
                </w:tcPr>
                <w:p>
                  <w:pPr>
                    <w:jc w:val="center"/>
                    <w:rPr>
                      <w:b/>
                      <w:bCs/>
                      <w:color w:val="000000"/>
                      <w:szCs w:val="21"/>
                    </w:rPr>
                  </w:pPr>
                  <w:r>
                    <w:rPr>
                      <w:b/>
                      <w:bCs/>
                      <w:color w:val="000000"/>
                      <w:szCs w:val="21"/>
                    </w:rPr>
                    <w:t>燃烧爆炸性</w:t>
                  </w:r>
                </w:p>
              </w:tc>
              <w:tc>
                <w:tcPr>
                  <w:tcW w:w="1324" w:type="pct"/>
                  <w:vAlign w:val="center"/>
                </w:tcPr>
                <w:p>
                  <w:pPr>
                    <w:jc w:val="center"/>
                    <w:rPr>
                      <w:b/>
                      <w:bCs/>
                      <w:color w:val="000000"/>
                      <w:szCs w:val="21"/>
                    </w:rPr>
                  </w:pPr>
                  <w:r>
                    <w:rPr>
                      <w:b/>
                      <w:bCs/>
                      <w:color w:val="000000"/>
                      <w:szCs w:val="21"/>
                    </w:rPr>
                    <w:t>毒性毒理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无铅锡丝</w:t>
                  </w:r>
                </w:p>
              </w:tc>
              <w:tc>
                <w:tcPr>
                  <w:tcW w:w="210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金属光泽丝状金属合金体，熔点227℃，密度7.3，不溶于水</w:t>
                  </w:r>
                </w:p>
              </w:tc>
              <w:tc>
                <w:tcPr>
                  <w:tcW w:w="906"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 xml:space="preserve">不易燃  </w:t>
                  </w:r>
                </w:p>
              </w:tc>
              <w:tc>
                <w:tcPr>
                  <w:tcW w:w="132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无资料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锡棒</w:t>
                  </w:r>
                </w:p>
              </w:tc>
              <w:tc>
                <w:tcPr>
                  <w:tcW w:w="210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金属光泽丝状金属合金体</w:t>
                  </w:r>
                </w:p>
              </w:tc>
              <w:tc>
                <w:tcPr>
                  <w:tcW w:w="906"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 xml:space="preserve">不易燃  </w:t>
                  </w:r>
                </w:p>
              </w:tc>
              <w:tc>
                <w:tcPr>
                  <w:tcW w:w="132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无资料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锡膏</w:t>
                  </w:r>
                </w:p>
              </w:tc>
              <w:tc>
                <w:tcPr>
                  <w:tcW w:w="210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形状：糊状物；颜色：灰色；溶点/凝固点：焊材217～220℃；沸点：锡2507℃；银2000℃；铜2324℃；蒸气压：锡1Pa(1224℃)；铜0.073Pa(1083℃)；比重(相对密度)：4(比重)</w:t>
                  </w:r>
                </w:p>
              </w:tc>
              <w:tc>
                <w:tcPr>
                  <w:tcW w:w="906"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易燃，其蒸气与空气可形成爆炸性混合物</w:t>
                  </w:r>
                </w:p>
              </w:tc>
              <w:tc>
                <w:tcPr>
                  <w:tcW w:w="132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急性毒性：LD50：13100mg/kg(大鼠经口）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网版</w:t>
                  </w:r>
                  <w:r>
                    <w:rPr>
                      <w:rFonts w:hint="eastAsia" w:ascii="Times New Roman" w:hAnsi="Times New Roman" w:eastAsia="宋体"/>
                      <w:color w:val="000000"/>
                      <w:sz w:val="21"/>
                      <w:szCs w:val="21"/>
                    </w:rPr>
                    <w:t>清洗剂</w:t>
                  </w:r>
                </w:p>
              </w:tc>
              <w:tc>
                <w:tcPr>
                  <w:tcW w:w="210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无色透明具有乙醇气味的可燃性液体，沸点：82.45℃，熔点：-87.9℃；相对密度：0.7863g/ml，闪点：</w:t>
                  </w:r>
                  <w:r>
                    <w:rPr>
                      <w:rFonts w:hint="eastAsia" w:ascii="Times New Roman" w:hAnsi="Times New Roman" w:eastAsia="宋体"/>
                      <w:color w:val="000000"/>
                      <w:sz w:val="21"/>
                      <w:szCs w:val="21"/>
                      <w:lang w:val="en-US" w:eastAsia="zh-CN"/>
                    </w:rPr>
                    <w:t>6</w:t>
                  </w:r>
                  <w:r>
                    <w:rPr>
                      <w:rFonts w:hint="eastAsia" w:ascii="Times New Roman" w:hAnsi="Times New Roman" w:eastAsia="宋体"/>
                      <w:color w:val="000000"/>
                      <w:sz w:val="21"/>
                      <w:szCs w:val="21"/>
                    </w:rPr>
                    <w:t>℃，燃点：460℃，爆炸下限：2%，爆炸上限：12%</w:t>
                  </w:r>
                </w:p>
              </w:tc>
              <w:tc>
                <w:tcPr>
                  <w:tcW w:w="906"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常温下可引火燃烧，气蒸汽与空气混合易形成爆炸混合物</w:t>
                  </w:r>
                </w:p>
              </w:tc>
              <w:tc>
                <w:tcPr>
                  <w:tcW w:w="132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LD50: 5840 mg/kg（大鼠经口）；小鼠 LC50: 3600 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助焊剂</w:t>
                  </w:r>
                </w:p>
              </w:tc>
              <w:tc>
                <w:tcPr>
                  <w:tcW w:w="210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物理状态：液体状；气味：醇类清</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香味；比重：0.806±0.01(20℃)；</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熔点：-89.5℃；沸点/沸点范围：</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82.5±2.0℃；蒸气密度：</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2.1(AIR=1)；溶解度：89%挥发速</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率：15－20(Ether=1)蒸气压：</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32mmHg自燃温度：460℃；爆炸</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上限：7.99；闪火点：600F；爆炸</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下限：2.02</w:t>
                  </w:r>
                </w:p>
              </w:tc>
              <w:tc>
                <w:tcPr>
                  <w:tcW w:w="906"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特殊状况下可能之危害反应：强氧化剂（硝酸盐、过氯酸盐、过氧化物）增加火灾爆炸危害性。</w:t>
                  </w:r>
                </w:p>
              </w:tc>
              <w:tc>
                <w:tcPr>
                  <w:tcW w:w="132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LD50（测试动物、吸收途径5045mg/kg(大鼠，吞食)；LD50（测试动物、吸收途径）：</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16000mg/kg(大鼠，吞食)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三防漆</w:t>
                  </w:r>
                </w:p>
              </w:tc>
              <w:tc>
                <w:tcPr>
                  <w:tcW w:w="210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透明粘性液体，淡黄色，石油溶剂气味，不溶于水，沸点130℃~200℃，闪点32℃；比重0.83，自燃温度大于200℃</w:t>
                  </w:r>
                </w:p>
              </w:tc>
              <w:tc>
                <w:tcPr>
                  <w:tcW w:w="906"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易燃液态第3类别</w:t>
                  </w:r>
                </w:p>
              </w:tc>
              <w:tc>
                <w:tcPr>
                  <w:tcW w:w="132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食入：(老鼠)：LD50&gt;5000mg/kg)；</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吸入：(老鼠)：4小时</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LC50&gt;5000mg/m</w:t>
                  </w:r>
                  <w:r>
                    <w:rPr>
                      <w:rFonts w:hint="eastAsia" w:ascii="Times New Roman" w:hAnsi="Times New Roman" w:eastAsia="宋体"/>
                      <w:color w:val="00000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固定胶</w:t>
                  </w:r>
                </w:p>
              </w:tc>
              <w:tc>
                <w:tcPr>
                  <w:tcW w:w="2104" w:type="pct"/>
                  <w:vAlign w:val="center"/>
                </w:tcPr>
                <w:p>
                  <w:pPr>
                    <w:jc w:val="center"/>
                    <w:rPr>
                      <w:szCs w:val="21"/>
                    </w:rPr>
                  </w:pPr>
                  <w:r>
                    <w:rPr>
                      <w:szCs w:val="21"/>
                    </w:rPr>
                    <w:t>无臭、无味、透明</w:t>
                  </w:r>
                  <w:r>
                    <w:rPr>
                      <w:rFonts w:hint="eastAsia"/>
                      <w:szCs w:val="21"/>
                    </w:rPr>
                    <w:t>液</w:t>
                  </w:r>
                  <w:r>
                    <w:rPr>
                      <w:szCs w:val="21"/>
                    </w:rPr>
                    <w:t>态</w:t>
                  </w:r>
                  <w:r>
                    <w:rPr>
                      <w:rFonts w:hint="eastAsia"/>
                      <w:szCs w:val="21"/>
                    </w:rPr>
                    <w:t>，密度1.0，不溶于水</w:t>
                  </w:r>
                </w:p>
              </w:tc>
              <w:tc>
                <w:tcPr>
                  <w:tcW w:w="906" w:type="pct"/>
                  <w:vAlign w:val="center"/>
                </w:tcPr>
                <w:p>
                  <w:pPr>
                    <w:jc w:val="center"/>
                    <w:rPr>
                      <w:szCs w:val="21"/>
                    </w:rPr>
                  </w:pPr>
                  <w:r>
                    <w:rPr>
                      <w:rFonts w:hint="eastAsia"/>
                      <w:szCs w:val="21"/>
                    </w:rPr>
                    <w:t>遇明火</w:t>
                  </w:r>
                  <w:r>
                    <w:rPr>
                      <w:szCs w:val="21"/>
                    </w:rPr>
                    <w:t>、高热能燃</w:t>
                  </w:r>
                </w:p>
              </w:tc>
              <w:tc>
                <w:tcPr>
                  <w:tcW w:w="1324" w:type="pct"/>
                  <w:vAlign w:val="center"/>
                </w:tcPr>
                <w:p>
                  <w:pPr>
                    <w:jc w:val="center"/>
                    <w:rPr>
                      <w:szCs w:val="21"/>
                    </w:rPr>
                  </w:pPr>
                  <w:r>
                    <w:rPr>
                      <w:szCs w:val="21"/>
                    </w:rPr>
                    <w:t>急性毒性LD</w:t>
                  </w:r>
                  <w:r>
                    <w:rPr>
                      <w:szCs w:val="21"/>
                      <w:vertAlign w:val="subscript"/>
                    </w:rPr>
                    <w:t>50</w:t>
                  </w:r>
                  <w:r>
                    <w:rPr>
                      <w:szCs w:val="21"/>
                    </w:rPr>
                    <w:t>：11400mg/kg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润滑油</w:t>
                  </w:r>
                </w:p>
              </w:tc>
              <w:tc>
                <w:tcPr>
                  <w:tcW w:w="2104" w:type="pct"/>
                  <w:vAlign w:val="center"/>
                </w:tcPr>
                <w:p>
                  <w:pPr>
                    <w:widowControl/>
                    <w:jc w:val="left"/>
                    <w:rPr>
                      <w:szCs w:val="21"/>
                    </w:rPr>
                  </w:pPr>
                  <w:r>
                    <w:rPr>
                      <w:rFonts w:hint="eastAsia"/>
                      <w:szCs w:val="21"/>
                    </w:rPr>
                    <w:t>褐色液体，低臭</w:t>
                  </w:r>
                  <w:r>
                    <w:rPr>
                      <w:rFonts w:hint="eastAsia" w:ascii="宋体" w:hAnsi="宋体" w:cs="宋体"/>
                      <w:color w:val="000000"/>
                      <w:kern w:val="0"/>
                      <w:sz w:val="20"/>
                      <w:szCs w:val="20"/>
                      <w:lang w:bidi="ar"/>
                    </w:rPr>
                    <w:t>密度</w:t>
                  </w:r>
                  <w:r>
                    <w:rPr>
                      <w:rFonts w:hint="eastAsia" w:ascii="宋体" w:hAnsi="宋体" w:cs="宋体"/>
                      <w:color w:val="000000"/>
                      <w:kern w:val="0"/>
                      <w:szCs w:val="21"/>
                      <w:lang w:bidi="ar"/>
                    </w:rPr>
                    <w:t>（</w:t>
                  </w:r>
                  <w:r>
                    <w:rPr>
                      <w:color w:val="000000"/>
                      <w:kern w:val="0"/>
                      <w:szCs w:val="21"/>
                      <w:lang w:bidi="ar"/>
                    </w:rPr>
                    <w:t>15</w:t>
                  </w:r>
                  <w:r>
                    <w:rPr>
                      <w:rFonts w:hint="eastAsia" w:ascii="宋体" w:hAnsi="宋体" w:cs="宋体"/>
                      <w:color w:val="000000"/>
                      <w:kern w:val="0"/>
                      <w:szCs w:val="21"/>
                      <w:lang w:bidi="ar"/>
                    </w:rPr>
                    <w:t xml:space="preserve">℃、 </w:t>
                  </w:r>
                  <w:r>
                    <w:rPr>
                      <w:color w:val="000000"/>
                      <w:kern w:val="0"/>
                      <w:szCs w:val="21"/>
                      <w:lang w:bidi="ar"/>
                    </w:rPr>
                    <w:t>g/cm</w:t>
                  </w:r>
                  <w:r>
                    <w:rPr>
                      <w:rFonts w:hint="eastAsia"/>
                      <w:color w:val="000000"/>
                      <w:kern w:val="0"/>
                      <w:szCs w:val="21"/>
                      <w:vertAlign w:val="superscript"/>
                      <w:lang w:bidi="ar"/>
                    </w:rPr>
                    <w:t>3</w:t>
                  </w:r>
                  <w:r>
                    <w:rPr>
                      <w:rFonts w:hint="eastAsia" w:ascii="宋体" w:hAnsi="宋体" w:cs="宋体"/>
                      <w:color w:val="000000"/>
                      <w:kern w:val="0"/>
                      <w:szCs w:val="21"/>
                      <w:lang w:bidi="ar"/>
                    </w:rPr>
                    <w:t>）</w:t>
                  </w:r>
                  <w:r>
                    <w:rPr>
                      <w:color w:val="000000"/>
                      <w:kern w:val="0"/>
                      <w:szCs w:val="21"/>
                      <w:lang w:bidi="ar"/>
                    </w:rPr>
                    <w:t>0.93</w:t>
                  </w:r>
                  <w:r>
                    <w:rPr>
                      <w:rFonts w:hint="eastAsia" w:ascii="宋体" w:hAnsi="宋体" w:cs="宋体"/>
                      <w:color w:val="000000"/>
                      <w:kern w:val="0"/>
                      <w:szCs w:val="21"/>
                      <w:lang w:bidi="ar"/>
                    </w:rPr>
                    <w:t>，闪点＞</w:t>
                  </w:r>
                  <w:r>
                    <w:rPr>
                      <w:color w:val="000000"/>
                      <w:kern w:val="0"/>
                      <w:szCs w:val="21"/>
                      <w:lang w:bidi="ar"/>
                    </w:rPr>
                    <w:t>190</w:t>
                  </w:r>
                  <w:r>
                    <w:rPr>
                      <w:rFonts w:hint="eastAsia" w:ascii="宋体" w:hAnsi="宋体" w:cs="宋体"/>
                      <w:color w:val="000000"/>
                      <w:kern w:val="0"/>
                      <w:szCs w:val="21"/>
                      <w:lang w:bidi="ar"/>
                    </w:rPr>
                    <w:t>℃</w:t>
                  </w:r>
                </w:p>
              </w:tc>
              <w:tc>
                <w:tcPr>
                  <w:tcW w:w="906" w:type="pct"/>
                  <w:vAlign w:val="center"/>
                </w:tcPr>
                <w:p>
                  <w:pPr>
                    <w:widowControl/>
                    <w:jc w:val="left"/>
                  </w:pPr>
                  <w:r>
                    <w:rPr>
                      <w:rFonts w:hint="eastAsia" w:ascii="宋体" w:hAnsi="宋体" w:cs="宋体"/>
                      <w:color w:val="000000"/>
                      <w:kern w:val="0"/>
                      <w:sz w:val="20"/>
                      <w:szCs w:val="20"/>
                      <w:lang w:bidi="ar"/>
                    </w:rPr>
                    <w:t>爆炸上限（</w:t>
                  </w:r>
                  <w:r>
                    <w:rPr>
                      <w:color w:val="000000"/>
                      <w:kern w:val="0"/>
                      <w:sz w:val="20"/>
                      <w:szCs w:val="20"/>
                      <w:lang w:bidi="ar"/>
                    </w:rPr>
                    <w:t>UEL</w:t>
                  </w:r>
                  <w:r>
                    <w:rPr>
                      <w:rFonts w:hint="eastAsia" w:ascii="宋体" w:hAnsi="宋体" w:cs="宋体"/>
                      <w:color w:val="000000"/>
                      <w:kern w:val="0"/>
                      <w:sz w:val="20"/>
                      <w:szCs w:val="20"/>
                      <w:lang w:bidi="ar"/>
                    </w:rPr>
                    <w:t>）：</w:t>
                  </w:r>
                  <w:r>
                    <w:rPr>
                      <w:color w:val="000000"/>
                      <w:kern w:val="0"/>
                      <w:sz w:val="20"/>
                      <w:szCs w:val="20"/>
                      <w:lang w:bidi="ar"/>
                    </w:rPr>
                    <w:t>7%</w:t>
                  </w:r>
                </w:p>
                <w:p>
                  <w:pPr>
                    <w:widowControl/>
                    <w:jc w:val="left"/>
                  </w:pPr>
                  <w:r>
                    <w:rPr>
                      <w:rFonts w:hint="eastAsia" w:ascii="宋体" w:hAnsi="宋体" w:cs="宋体"/>
                      <w:color w:val="000000"/>
                      <w:kern w:val="0"/>
                      <w:sz w:val="20"/>
                      <w:szCs w:val="20"/>
                      <w:lang w:bidi="ar"/>
                    </w:rPr>
                    <w:t xml:space="preserve">，爆炸下限 </w:t>
                  </w:r>
                </w:p>
                <w:p>
                  <w:pPr>
                    <w:widowControl/>
                    <w:jc w:val="left"/>
                  </w:pPr>
                  <w:r>
                    <w:rPr>
                      <w:rFonts w:hint="eastAsia" w:ascii="宋体" w:hAnsi="宋体" w:cs="宋体"/>
                      <w:color w:val="000000"/>
                      <w:kern w:val="0"/>
                      <w:sz w:val="20"/>
                      <w:szCs w:val="20"/>
                      <w:lang w:bidi="ar"/>
                    </w:rPr>
                    <w:t>（</w:t>
                  </w:r>
                  <w:r>
                    <w:rPr>
                      <w:color w:val="000000"/>
                      <w:kern w:val="0"/>
                      <w:sz w:val="20"/>
                      <w:szCs w:val="20"/>
                      <w:lang w:bidi="ar"/>
                    </w:rPr>
                    <w:t>UEL</w:t>
                  </w:r>
                  <w:r>
                    <w:rPr>
                      <w:rFonts w:hint="eastAsia" w:ascii="宋体" w:hAnsi="宋体" w:cs="宋体"/>
                      <w:color w:val="000000"/>
                      <w:kern w:val="0"/>
                      <w:sz w:val="20"/>
                      <w:szCs w:val="20"/>
                      <w:lang w:bidi="ar"/>
                    </w:rPr>
                    <w:t>）：</w:t>
                  </w:r>
                  <w:r>
                    <w:rPr>
                      <w:color w:val="000000"/>
                      <w:kern w:val="0"/>
                      <w:sz w:val="20"/>
                      <w:szCs w:val="20"/>
                      <w:lang w:bidi="ar"/>
                    </w:rPr>
                    <w:t>1%</w:t>
                  </w:r>
                </w:p>
                <w:p>
                  <w:pPr>
                    <w:jc w:val="center"/>
                    <w:rPr>
                      <w:szCs w:val="21"/>
                    </w:rPr>
                  </w:pPr>
                </w:p>
              </w:tc>
              <w:tc>
                <w:tcPr>
                  <w:tcW w:w="1324" w:type="pct"/>
                  <w:vAlign w:val="center"/>
                </w:tcPr>
                <w:p>
                  <w:pPr>
                    <w:jc w:val="center"/>
                    <w:rPr>
                      <w:szCs w:val="21"/>
                    </w:rPr>
                  </w:pPr>
                  <w:r>
                    <w:rPr>
                      <w:rFonts w:hint="eastAsia"/>
                      <w:szCs w:val="21"/>
                    </w:rPr>
                    <w:t>长期接触对皮肤稍有刺激</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3"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三防漆清洗剂</w:t>
                  </w:r>
                </w:p>
              </w:tc>
              <w:tc>
                <w:tcPr>
                  <w:tcW w:w="2104" w:type="pct"/>
                  <w:vAlign w:val="center"/>
                </w:tcPr>
                <w:p>
                  <w:pPr>
                    <w:jc w:val="center"/>
                    <w:rPr>
                      <w:szCs w:val="21"/>
                    </w:rPr>
                  </w:pPr>
                  <w:r>
                    <w:rPr>
                      <w:rFonts w:hint="eastAsia"/>
                      <w:szCs w:val="21"/>
                    </w:rPr>
                    <w:t xml:space="preserve">无色液体，芳香类气味，微溶于水，沸点 </w:t>
                  </w:r>
                  <w:r>
                    <w:rPr>
                      <w:szCs w:val="21"/>
                    </w:rPr>
                    <w:t>38℃</w:t>
                  </w:r>
                  <w:r>
                    <w:rPr>
                      <w:rFonts w:hint="eastAsia"/>
                      <w:szCs w:val="21"/>
                    </w:rPr>
                    <w:t>；蒸汽压（</w:t>
                  </w:r>
                  <w:r>
                    <w:rPr>
                      <w:szCs w:val="21"/>
                    </w:rPr>
                    <w:t>Kpa</w:t>
                  </w:r>
                  <w:r>
                    <w:rPr>
                      <w:rFonts w:hint="eastAsia"/>
                      <w:szCs w:val="21"/>
                    </w:rPr>
                    <w:t>）</w:t>
                  </w:r>
                  <w:r>
                    <w:rPr>
                      <w:szCs w:val="21"/>
                    </w:rPr>
                    <w:t>30</w:t>
                  </w:r>
                  <w:r>
                    <w:rPr>
                      <w:rFonts w:hint="eastAsia"/>
                      <w:szCs w:val="21"/>
                    </w:rPr>
                    <w:t>；比重</w:t>
                  </w:r>
                  <w:r>
                    <w:rPr>
                      <w:szCs w:val="21"/>
                    </w:rPr>
                    <w:t>(23℃ ):g/cm</w:t>
                  </w:r>
                  <w:r>
                    <w:rPr>
                      <w:szCs w:val="21"/>
                      <w:vertAlign w:val="superscript"/>
                    </w:rPr>
                    <w:t>3</w:t>
                  </w:r>
                  <w:r>
                    <w:rPr>
                      <w:szCs w:val="21"/>
                    </w:rPr>
                    <w:t>1.2±0.05</w:t>
                  </w:r>
                  <w:r>
                    <w:rPr>
                      <w:rFonts w:hint="eastAsia"/>
                      <w:szCs w:val="21"/>
                    </w:rPr>
                    <w:t>，自燃温度</w:t>
                  </w:r>
                  <w:r>
                    <w:rPr>
                      <w:szCs w:val="21"/>
                    </w:rPr>
                    <w:t>610℃</w:t>
                  </w:r>
                  <w:r>
                    <w:rPr>
                      <w:rFonts w:hint="eastAsia"/>
                      <w:szCs w:val="21"/>
                    </w:rPr>
                    <w:t xml:space="preserve">，爆炸上限值 </w:t>
                  </w:r>
                  <w:r>
                    <w:rPr>
                      <w:szCs w:val="21"/>
                    </w:rPr>
                    <w:t>19%</w:t>
                  </w:r>
                  <w:r>
                    <w:rPr>
                      <w:rFonts w:hint="eastAsia"/>
                      <w:szCs w:val="21"/>
                    </w:rPr>
                    <w:t xml:space="preserve">，下限值 </w:t>
                  </w:r>
                  <w:r>
                    <w:rPr>
                      <w:szCs w:val="21"/>
                    </w:rPr>
                    <w:t>12%</w:t>
                  </w:r>
                </w:p>
              </w:tc>
              <w:tc>
                <w:tcPr>
                  <w:tcW w:w="906" w:type="pct"/>
                  <w:vAlign w:val="center"/>
                </w:tcPr>
                <w:p>
                  <w:pPr>
                    <w:widowControl/>
                    <w:jc w:val="left"/>
                    <w:rPr>
                      <w:szCs w:val="21"/>
                    </w:rPr>
                  </w:pPr>
                  <w:r>
                    <w:rPr>
                      <w:rFonts w:hint="eastAsia" w:ascii="宋体" w:hAnsi="宋体" w:cs="宋体"/>
                      <w:color w:val="000000"/>
                      <w:kern w:val="0"/>
                      <w:sz w:val="20"/>
                      <w:szCs w:val="20"/>
                      <w:lang w:bidi="ar"/>
                    </w:rPr>
                    <w:t>不燃；皮肤刺激第</w:t>
                  </w:r>
                  <w:r>
                    <w:rPr>
                      <w:rFonts w:ascii="宋体" w:hAnsi="宋体" w:cs="宋体"/>
                      <w:color w:val="000000"/>
                      <w:kern w:val="0"/>
                      <w:sz w:val="20"/>
                      <w:szCs w:val="20"/>
                      <w:lang w:bidi="ar"/>
                    </w:rPr>
                    <w:t>3</w:t>
                  </w:r>
                  <w:r>
                    <w:rPr>
                      <w:rFonts w:hint="eastAsia" w:ascii="宋体" w:hAnsi="宋体" w:cs="宋体"/>
                      <w:color w:val="000000"/>
                      <w:kern w:val="0"/>
                      <w:sz w:val="20"/>
                      <w:szCs w:val="20"/>
                      <w:lang w:bidi="ar"/>
                    </w:rPr>
                    <w:t>类别；热分解在很大程度上取决于外部条件，在空气中形成固体液体体以及气体混合物，以及燃烧时包括二氧化碳、一氧化碳和其他有机化合物。</w:t>
                  </w:r>
                </w:p>
              </w:tc>
              <w:tc>
                <w:tcPr>
                  <w:tcW w:w="1324"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食入：(老鼠)：LD50&gt;1600-2000mg/kg)；</w:t>
                  </w:r>
                </w:p>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sz w:val="21"/>
                      <w:szCs w:val="21"/>
                    </w:rPr>
                    <w:t>吸入：(老鼠)：4小时</w:t>
                  </w:r>
                </w:p>
                <w:p>
                  <w:pPr>
                    <w:jc w:val="center"/>
                    <w:rPr>
                      <w:szCs w:val="21"/>
                    </w:rPr>
                  </w:pPr>
                  <w:r>
                    <w:rPr>
                      <w:rFonts w:hint="eastAsia"/>
                      <w:color w:val="000000"/>
                      <w:szCs w:val="21"/>
                    </w:rPr>
                    <w:t>LC50&gt;88000mg/m</w:t>
                  </w:r>
                  <w:r>
                    <w:rPr>
                      <w:rFonts w:hint="eastAsia"/>
                      <w:color w:val="000000"/>
                      <w:szCs w:val="21"/>
                      <w:vertAlign w:val="superscript"/>
                    </w:rPr>
                    <w:t>3</w:t>
                  </w:r>
                </w:p>
              </w:tc>
            </w:tr>
          </w:tbl>
          <w:p>
            <w:pPr>
              <w:tabs>
                <w:tab w:val="left" w:pos="0"/>
              </w:tabs>
              <w:spacing w:line="360" w:lineRule="auto"/>
              <w:jc w:val="left"/>
              <w:rPr>
                <w:b/>
                <w:bCs/>
                <w:color w:val="000000"/>
                <w:sz w:val="24"/>
              </w:rPr>
            </w:pPr>
            <w:r>
              <w:rPr>
                <w:b/>
                <w:bCs/>
                <w:color w:val="000000"/>
                <w:sz w:val="24"/>
              </w:rPr>
              <w:t>2.7水平衡</w:t>
            </w:r>
          </w:p>
          <w:p>
            <w:pPr>
              <w:tabs>
                <w:tab w:val="left" w:pos="0"/>
              </w:tabs>
              <w:spacing w:line="360" w:lineRule="auto"/>
              <w:ind w:firstLine="480" w:firstLineChars="200"/>
              <w:rPr>
                <w:sz w:val="24"/>
              </w:rPr>
            </w:pPr>
            <w:r>
              <w:rPr>
                <w:rFonts w:hint="eastAsia"/>
                <w:color w:val="000000"/>
                <w:sz w:val="24"/>
              </w:rPr>
              <w:t>本项目项目新增员工200人，生活污水通过市政管网进入科技城水质净化厂处理，根据相关规范及建设单位提供资料，生活用水定额按</w:t>
            </w:r>
            <w:r>
              <w:rPr>
                <w:color w:val="000000"/>
                <w:sz w:val="24"/>
              </w:rPr>
              <w:t>100L/</w:t>
            </w:r>
            <w:r>
              <w:rPr>
                <w:rFonts w:hint="eastAsia"/>
                <w:color w:val="000000"/>
                <w:sz w:val="24"/>
              </w:rPr>
              <w:t>人</w:t>
            </w:r>
            <w:r>
              <w:rPr>
                <w:color w:val="000000"/>
                <w:sz w:val="24"/>
              </w:rPr>
              <w:t xml:space="preserve">·d </w:t>
            </w:r>
            <w:r>
              <w:rPr>
                <w:rFonts w:hint="eastAsia"/>
                <w:color w:val="000000"/>
                <w:sz w:val="24"/>
              </w:rPr>
              <w:t>计，则项目生活用水量为60</w:t>
            </w:r>
            <w:r>
              <w:rPr>
                <w:color w:val="000000"/>
                <w:sz w:val="24"/>
              </w:rPr>
              <w:t>00m</w:t>
            </w:r>
            <w:r>
              <w:rPr>
                <w:color w:val="000000"/>
                <w:sz w:val="24"/>
                <w:vertAlign w:val="superscript"/>
              </w:rPr>
              <w:t>3</w:t>
            </w:r>
            <w:r>
              <w:rPr>
                <w:color w:val="000000"/>
                <w:sz w:val="24"/>
              </w:rPr>
              <w:t xml:space="preserve"> /a</w:t>
            </w:r>
            <w:r>
              <w:rPr>
                <w:rFonts w:hint="eastAsia"/>
                <w:color w:val="000000"/>
                <w:sz w:val="24"/>
              </w:rPr>
              <w:t xml:space="preserve">（年工作日按 </w:t>
            </w:r>
            <w:r>
              <w:rPr>
                <w:color w:val="000000"/>
                <w:sz w:val="24"/>
              </w:rPr>
              <w:t xml:space="preserve">300 </w:t>
            </w:r>
            <w:r>
              <w:rPr>
                <w:rFonts w:hint="eastAsia"/>
                <w:color w:val="000000"/>
                <w:sz w:val="24"/>
              </w:rPr>
              <w:t>天计）。生活污水排放量按用水量的</w:t>
            </w:r>
            <w:r>
              <w:rPr>
                <w:color w:val="000000"/>
                <w:sz w:val="24"/>
              </w:rPr>
              <w:t>85%</w:t>
            </w:r>
            <w:r>
              <w:rPr>
                <w:rFonts w:hint="eastAsia"/>
                <w:color w:val="000000"/>
                <w:sz w:val="24"/>
              </w:rPr>
              <w:t>计算，则生活污水排放量为5100</w:t>
            </w:r>
            <w:r>
              <w:rPr>
                <w:color w:val="000000"/>
                <w:sz w:val="24"/>
              </w:rPr>
              <w:t>m</w:t>
            </w:r>
            <w:r>
              <w:rPr>
                <w:color w:val="000000"/>
                <w:sz w:val="24"/>
                <w:vertAlign w:val="superscript"/>
              </w:rPr>
              <w:t>3</w:t>
            </w:r>
            <w:r>
              <w:rPr>
                <w:color w:val="000000"/>
                <w:sz w:val="24"/>
              </w:rPr>
              <w:t xml:space="preserve"> /a</w:t>
            </w:r>
            <w:r>
              <w:rPr>
                <w:rFonts w:hint="eastAsia"/>
                <w:color w:val="000000"/>
                <w:sz w:val="24"/>
              </w:rPr>
              <w:t>。水平衡见下图。</w:t>
            </w:r>
          </w:p>
          <w:p>
            <w:pPr>
              <w:rPr>
                <w:sz w:val="24"/>
              </w:rPr>
            </w:pPr>
            <w:r>
              <w:rPr>
                <w:rFonts w:hAnsi="宋体"/>
                <w:b/>
                <w:bCs/>
                <w:sz w:val="24"/>
              </w:rPr>
              <mc:AlternateContent>
                <mc:Choice Requires="wps">
                  <w:drawing>
                    <wp:anchor distT="0" distB="0" distL="114300" distR="114300" simplePos="0" relativeHeight="251665408" behindDoc="0" locked="0" layoutInCell="1" allowOverlap="1">
                      <wp:simplePos x="0" y="0"/>
                      <wp:positionH relativeFrom="column">
                        <wp:posOffset>2789555</wp:posOffset>
                      </wp:positionH>
                      <wp:positionV relativeFrom="paragraph">
                        <wp:posOffset>29845</wp:posOffset>
                      </wp:positionV>
                      <wp:extent cx="685800" cy="2819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85800" cy="281940"/>
                              </a:xfrm>
                              <a:prstGeom prst="rect">
                                <a:avLst/>
                              </a:prstGeom>
                              <a:noFill/>
                              <a:ln w="9525">
                                <a:noFill/>
                              </a:ln>
                            </wps:spPr>
                            <wps:txbx>
                              <w:txbxContent>
                                <w:p>
                                  <w:r>
                                    <w:rPr>
                                      <w:rFonts w:hint="eastAsia"/>
                                    </w:rPr>
                                    <w:t>900t</w:t>
                                  </w:r>
                                </w:p>
                              </w:txbxContent>
                            </wps:txbx>
                            <wps:bodyPr vert="horz" anchor="t" anchorCtr="0" upright="1"/>
                          </wps:wsp>
                        </a:graphicData>
                      </a:graphic>
                    </wp:anchor>
                  </w:drawing>
                </mc:Choice>
                <mc:Fallback>
                  <w:pict>
                    <v:shape id="_x0000_s1026" o:spid="_x0000_s1026" o:spt="202" type="#_x0000_t202" style="position:absolute;left:0pt;margin-left:219.65pt;margin-top:2.35pt;height:22.2pt;width:54pt;z-index:251665408;mso-width-relative:page;mso-height-relative:page;" filled="f" stroked="f" coordsize="21600,21600" o:gfxdata="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RYuZdUAAAAIAQAADwAAAAAAAAABACAAAAAiAAAAZHJzL2Rvd25y&#10;ZXYueG1sUEsBAhQAFAAAAAgAh07iQMDXxOPIAQAAewMAAA4AAAAAAAAAAQAgAAAAJAEAAGRycy9l&#10;Mm9Eb2MueG1sUEsFBgAAAAAGAAYAWQEAAF4FAAAAAA==&#10;">
                      <v:fill on="f" focussize="0,0"/>
                      <v:stroke on="f"/>
                      <v:imagedata o:title=""/>
                      <o:lock v:ext="edit" aspectratio="f"/>
                      <v:textbox>
                        <w:txbxContent>
                          <w:p>
                            <w:r>
                              <w:rPr>
                                <w:rFonts w:hint="eastAsia"/>
                              </w:rPr>
                              <w:t>900t</w:t>
                            </w:r>
                          </w:p>
                        </w:txbxContent>
                      </v:textbox>
                    </v:shape>
                  </w:pict>
                </mc:Fallback>
              </mc:AlternateContent>
            </w:r>
          </w:p>
          <w:p>
            <w:pPr>
              <w:ind w:left="-473" w:leftChars="-225" w:firstLine="472" w:firstLineChars="196"/>
              <w:jc w:val="center"/>
              <w:rPr>
                <w:b/>
                <w:bCs/>
                <w:sz w:val="24"/>
              </w:rPr>
            </w:pPr>
            <w:r>
              <w:rPr>
                <w:b/>
                <w:bCs/>
                <w:sz w:val="24"/>
              </w:rPr>
              <mc:AlternateContent>
                <mc:Choice Requires="wps">
                  <w:drawing>
                    <wp:anchor distT="0" distB="0" distL="114300" distR="114300" simplePos="0" relativeHeight="251663360" behindDoc="0" locked="0" layoutInCell="1" allowOverlap="1">
                      <wp:simplePos x="0" y="0"/>
                      <wp:positionH relativeFrom="column">
                        <wp:posOffset>1505585</wp:posOffset>
                      </wp:positionH>
                      <wp:positionV relativeFrom="paragraph">
                        <wp:posOffset>159385</wp:posOffset>
                      </wp:positionV>
                      <wp:extent cx="590550" cy="281940"/>
                      <wp:effectExtent l="4445" t="4445" r="14605" b="5715"/>
                      <wp:wrapNone/>
                      <wp:docPr id="6" name="文本框 6"/>
                      <wp:cNvGraphicFramePr/>
                      <a:graphic xmlns:a="http://schemas.openxmlformats.org/drawingml/2006/main">
                        <a:graphicData uri="http://schemas.microsoft.com/office/word/2010/wordprocessingShape">
                          <wps:wsp>
                            <wps:cNvSpPr txBox="1"/>
                            <wps:spPr>
                              <a:xfrm>
                                <a:off x="0" y="0"/>
                                <a:ext cx="590550" cy="281940"/>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6000t</w:t>
                                  </w:r>
                                </w:p>
                              </w:txbxContent>
                            </wps:txbx>
                            <wps:bodyPr vert="horz" anchor="t" anchorCtr="0" upright="1"/>
                          </wps:wsp>
                        </a:graphicData>
                      </a:graphic>
                    </wp:anchor>
                  </w:drawing>
                </mc:Choice>
                <mc:Fallback>
                  <w:pict>
                    <v:shape id="_x0000_s1026" o:spid="_x0000_s1026" o:spt="202" type="#_x0000_t202" style="position:absolute;left:0pt;margin-left:118.55pt;margin-top:12.55pt;height:22.2pt;width:46.5pt;z-index:251663360;mso-width-relative:page;mso-height-relative:page;" fillcolor="#FFFFFF" filled="t" stroked="t" coordsize="21600,21600" o:gfxdata="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wZxx71wAAAAkB&#10;AAAPAAAAAAAAAAEAIAAAACIAAABkcnMvZG93bnJldi54bWxQSwECFAAUAAAACACHTuJAjXw4xhwC&#10;AABaBAAADgAAAAAAAAABACAAAAAmAQAAZHJzL2Uyb0RvYy54bWxQSwUGAAAAAAYABgBZAQAAtAUA&#10;AAAA&#10;">
                      <v:fill on="t" focussize="0,0"/>
                      <v:stroke color="#FFFFFF" joinstyle="miter"/>
                      <v:imagedata o:title=""/>
                      <o:lock v:ext="edit" aspectratio="f"/>
                      <v:textbox>
                        <w:txbxContent>
                          <w:p>
                            <w:r>
                              <w:rPr>
                                <w:rFonts w:hint="eastAsia"/>
                              </w:rPr>
                              <w:t>6000t</w:t>
                            </w:r>
                          </w:p>
                        </w:txbxContent>
                      </v:textbox>
                    </v:shape>
                  </w:pict>
                </mc:Fallback>
              </mc:AlternateContent>
            </w:r>
            <w:r>
              <w:rPr>
                <w:b/>
                <w:bCs/>
                <w:sz w:val="24"/>
              </w:rPr>
              <mc:AlternateContent>
                <mc:Choice Requires="wps">
                  <w:drawing>
                    <wp:anchor distT="0" distB="0" distL="114300" distR="114300" simplePos="0" relativeHeight="251662336" behindDoc="0" locked="0" layoutInCell="1" allowOverlap="1">
                      <wp:simplePos x="0" y="0"/>
                      <wp:positionH relativeFrom="column">
                        <wp:posOffset>2535555</wp:posOffset>
                      </wp:positionH>
                      <wp:positionV relativeFrom="paragraph">
                        <wp:posOffset>119380</wp:posOffset>
                      </wp:positionV>
                      <wp:extent cx="495300" cy="247650"/>
                      <wp:effectExtent l="1905" t="0" r="10795" b="6350"/>
                      <wp:wrapNone/>
                      <wp:docPr id="3" name="自选图形 3"/>
                      <wp:cNvGraphicFramePr/>
                      <a:graphic xmlns:a="http://schemas.openxmlformats.org/drawingml/2006/main">
                        <a:graphicData uri="http://schemas.microsoft.com/office/word/2010/wordprocessingShape">
                          <wps:wsp>
                            <wps:cNvCnPr/>
                            <wps:spPr>
                              <a:xfrm flipV="1">
                                <a:off x="0" y="0"/>
                                <a:ext cx="495300" cy="2476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 o:spid="_x0000_s1026" o:spt="32" type="#_x0000_t32" style="position:absolute;left:0pt;flip:y;margin-left:199.65pt;margin-top:9.4pt;height:19.5pt;width:39pt;z-index:251662336;mso-width-relative:page;mso-height-relative:page;" filled="f" stroked="t" coordsize="21600,21600" o:gfxdata="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jo0a3ZAAAACQEAAA8AAAAAAAAAAQAgAAAA&#10;IgAAAGRycy9kb3ducmV2LnhtbFBLAQIUABQAAAAIAIdO4kAhopGmCgIAAPUDAAAOAAAAAAAAAAEA&#10;IAAAACgBAABkcnMvZTJvRG9jLnhtbFBLBQYAAAAABgAGAFkBAACkBQAAAAA=&#10;">
                      <v:fill on="f" focussize="0,0"/>
                      <v:stroke color="#000000" joinstyle="round" endarrow="block"/>
                      <v:imagedata o:title=""/>
                      <o:lock v:ext="edit" aspectratio="f"/>
                    </v:shape>
                  </w:pict>
                </mc:Fallback>
              </mc:AlternateContent>
            </w:r>
          </w:p>
          <w:p>
            <w:pPr>
              <w:ind w:left="-473" w:leftChars="-225" w:firstLine="472" w:firstLineChars="196"/>
              <w:jc w:val="center"/>
              <w:rPr>
                <w:b/>
                <w:bCs/>
                <w:sz w:val="24"/>
              </w:rPr>
            </w:pPr>
            <w:r>
              <w:rPr>
                <w:b/>
                <w:bCs/>
                <w:sz w:val="24"/>
              </w:rPr>
              <mc:AlternateContent>
                <mc:Choice Requires="wps">
                  <w:drawing>
                    <wp:anchor distT="0" distB="0" distL="114300" distR="114300" simplePos="0" relativeHeight="251664384" behindDoc="0" locked="0" layoutInCell="1" allowOverlap="1">
                      <wp:simplePos x="0" y="0"/>
                      <wp:positionH relativeFrom="column">
                        <wp:posOffset>3536950</wp:posOffset>
                      </wp:positionH>
                      <wp:positionV relativeFrom="paragraph">
                        <wp:posOffset>45085</wp:posOffset>
                      </wp:positionV>
                      <wp:extent cx="1387475" cy="490220"/>
                      <wp:effectExtent l="4445" t="4445" r="5080" b="13335"/>
                      <wp:wrapNone/>
                      <wp:docPr id="4" name="文本框 4"/>
                      <wp:cNvGraphicFramePr/>
                      <a:graphic xmlns:a="http://schemas.openxmlformats.org/drawingml/2006/main">
                        <a:graphicData uri="http://schemas.microsoft.com/office/word/2010/wordprocessingShape">
                          <wps:wsp>
                            <wps:cNvSpPr txBox="1"/>
                            <wps:spPr>
                              <a:xfrm>
                                <a:off x="0" y="0"/>
                                <a:ext cx="1387475" cy="490220"/>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5100t</w:t>
                                  </w:r>
                                </w:p>
                                <w:p>
                                  <w:r>
                                    <w:rPr>
                                      <w:rFonts w:hint="eastAsia"/>
                                    </w:rPr>
                                    <w:t>科技城水质净化厂</w:t>
                                  </w:r>
                                </w:p>
                              </w:txbxContent>
                            </wps:txbx>
                            <wps:bodyPr vert="horz" anchor="t" anchorCtr="0" upright="1"/>
                          </wps:wsp>
                        </a:graphicData>
                      </a:graphic>
                    </wp:anchor>
                  </w:drawing>
                </mc:Choice>
                <mc:Fallback>
                  <w:pict>
                    <v:shape id="_x0000_s1026" o:spid="_x0000_s1026" o:spt="202" type="#_x0000_t202" style="position:absolute;left:0pt;margin-left:278.5pt;margin-top:3.55pt;height:38.6pt;width:109.25pt;z-index:251664384;mso-width-relative:page;mso-height-relative:page;" fillcolor="#FFFFFF" filled="t" stroked="t" coordsize="21600,21600" o:gfxdata="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Kg73HXAAAA&#10;CAEAAA8AAAAAAAAAAQAgAAAAIgAAAGRycy9kb3ducmV2LnhtbFBLAQIUABQAAAAIAIdO4kAZmpwP&#10;HgIAAFsEAAAOAAAAAAAAAAEAIAAAACYBAABkcnMvZTJvRG9jLnhtbFBLBQYAAAAABgAGAFkBAAC2&#10;BQAAAAA=&#10;">
                      <v:fill on="t" focussize="0,0"/>
                      <v:stroke color="#FFFFFF" joinstyle="miter"/>
                      <v:imagedata o:title=""/>
                      <o:lock v:ext="edit" aspectratio="f"/>
                      <v:textbox>
                        <w:txbxContent>
                          <w:p>
                            <w:r>
                              <w:rPr>
                                <w:rFonts w:hint="eastAsia"/>
                              </w:rPr>
                              <w:t>5100t</w:t>
                            </w:r>
                          </w:p>
                          <w:p>
                            <w:r>
                              <w:rPr>
                                <w:rFonts w:hint="eastAsia"/>
                              </w:rPr>
                              <w:t>科技城水质净化厂</w:t>
                            </w:r>
                          </w:p>
                        </w:txbxContent>
                      </v:textbox>
                    </v:shape>
                  </w:pict>
                </mc:Fallback>
              </mc:AlternateContent>
            </w:r>
            <w:r>
              <w:rPr>
                <w:b/>
                <w:bCs/>
                <w:sz w:val="24"/>
              </w:rPr>
              <mc:AlternateContent>
                <mc:Choice Requires="wps">
                  <w:drawing>
                    <wp:anchor distT="0" distB="0" distL="114300" distR="114300" simplePos="0" relativeHeight="251659264" behindDoc="0" locked="0" layoutInCell="1" allowOverlap="1">
                      <wp:simplePos x="0" y="0"/>
                      <wp:positionH relativeFrom="column">
                        <wp:posOffset>2167890</wp:posOffset>
                      </wp:positionH>
                      <wp:positionV relativeFrom="paragraph">
                        <wp:posOffset>191770</wp:posOffset>
                      </wp:positionV>
                      <wp:extent cx="990600" cy="285750"/>
                      <wp:effectExtent l="4445" t="4445" r="8255" b="14605"/>
                      <wp:wrapNone/>
                      <wp:docPr id="7" name="矩形 7"/>
                      <wp:cNvGraphicFramePr/>
                      <a:graphic xmlns:a="http://schemas.openxmlformats.org/drawingml/2006/main">
                        <a:graphicData uri="http://schemas.microsoft.com/office/word/2010/wordprocessingShape">
                          <wps:wsp>
                            <wps:cNvSpPr/>
                            <wps:spPr>
                              <a:xfrm>
                                <a:off x="0" y="0"/>
                                <a:ext cx="990600"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生活用水</w:t>
                                  </w:r>
                                </w:p>
                              </w:txbxContent>
                            </wps:txbx>
                            <wps:bodyPr upright="1"/>
                          </wps:wsp>
                        </a:graphicData>
                      </a:graphic>
                    </wp:anchor>
                  </w:drawing>
                </mc:Choice>
                <mc:Fallback>
                  <w:pict>
                    <v:rect id="_x0000_s1026" o:spid="_x0000_s1026" o:spt="1" style="position:absolute;left:0pt;margin-left:170.7pt;margin-top:15.1pt;height:22.5pt;width:78pt;z-index:251659264;mso-width-relative:page;mso-height-relative:page;" fillcolor="#FFFFFF" filled="t" stroked="t" coordsize="21600,21600" o:gfxdata="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jJ/OdcAAAAJAQAADwAAAAAAAAABACAAAAAiAAAAZHJzL2Rv&#10;d25yZXYueG1sUEsBAhQAFAAAAAgAh07iQBGdA+QCAgAAKAQAAA4AAAAAAAAAAQAgAAAAJgEAAGRy&#10;cy9lMm9Eb2MueG1sUEsFBgAAAAAGAAYAWQEAAJoFAAAAAA==&#10;">
                      <v:fill on="t" focussize="0,0"/>
                      <v:stroke color="#000000" joinstyle="miter"/>
                      <v:imagedata o:title=""/>
                      <o:lock v:ext="edit" aspectratio="f"/>
                      <v:textbox>
                        <w:txbxContent>
                          <w:p>
                            <w:pPr>
                              <w:jc w:val="center"/>
                            </w:pPr>
                            <w:r>
                              <w:t>生活用水</w:t>
                            </w:r>
                          </w:p>
                        </w:txbxContent>
                      </v:textbox>
                    </v:rect>
                  </w:pict>
                </mc:Fallback>
              </mc:AlternateContent>
            </w:r>
          </w:p>
          <w:p>
            <w:pPr>
              <w:ind w:left="-473" w:leftChars="-225" w:firstLine="472" w:firstLineChars="196"/>
              <w:jc w:val="center"/>
              <w:rPr>
                <w:b/>
                <w:bCs/>
                <w:sz w:val="24"/>
              </w:rPr>
            </w:pPr>
            <w:r>
              <w:rPr>
                <w:b/>
                <w:bCs/>
                <w:sz w:val="24"/>
              </w:rPr>
              <mc:AlternateContent>
                <mc:Choice Requires="wps">
                  <w:drawing>
                    <wp:anchor distT="0" distB="0" distL="114300" distR="114300" simplePos="0" relativeHeight="251661312" behindDoc="0" locked="0" layoutInCell="1" allowOverlap="1">
                      <wp:simplePos x="0" y="0"/>
                      <wp:positionH relativeFrom="column">
                        <wp:posOffset>3158490</wp:posOffset>
                      </wp:positionH>
                      <wp:positionV relativeFrom="paragraph">
                        <wp:posOffset>142240</wp:posOffset>
                      </wp:positionV>
                      <wp:extent cx="384175" cy="1270"/>
                      <wp:effectExtent l="0" t="36830" r="9525" b="38100"/>
                      <wp:wrapNone/>
                      <wp:docPr id="8" name="自选图形 8"/>
                      <wp:cNvGraphicFramePr/>
                      <a:graphic xmlns:a="http://schemas.openxmlformats.org/drawingml/2006/main">
                        <a:graphicData uri="http://schemas.microsoft.com/office/word/2010/wordprocessingShape">
                          <wps:wsp>
                            <wps:cNvCnPr/>
                            <wps:spPr>
                              <a:xfrm>
                                <a:off x="0" y="0"/>
                                <a:ext cx="384175" cy="1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8" o:spid="_x0000_s1026" o:spt="32" type="#_x0000_t32" style="position:absolute;left:0pt;margin-left:248.7pt;margin-top:11.2pt;height:0.1pt;width:30.25pt;z-index:251661312;mso-width-relative:page;mso-height-relative:page;" filled="f" stroked="t" coordsize="21600,21600" o:gfxdata="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jDW8D2gAAAAkBAAAPAAAAAAAAAAEAIAAAACIAAABkcnMvZG93&#10;bnJldi54bWxQSwECFAAUAAAACACHTuJA9kPxL/4BAADpAwAADgAAAAAAAAABACAAAAApAQAAZHJz&#10;L2Uyb0RvYy54bWxQSwUGAAAAAAYABgBZAQAAmQUAAAAA&#10;">
                      <v:fill on="f" focussize="0,0"/>
                      <v:stroke color="#000000" joinstyle="round" endarrow="block"/>
                      <v:imagedata o:title=""/>
                      <o:lock v:ext="edit" aspectratio="f"/>
                    </v:shape>
                  </w:pict>
                </mc:Fallback>
              </mc:AlternateContent>
            </w:r>
            <w:r>
              <w:rPr>
                <w:b/>
                <w:bCs/>
                <w:sz w:val="24"/>
              </w:rPr>
              <mc:AlternateContent>
                <mc:Choice Requires="wps">
                  <w:drawing>
                    <wp:anchor distT="0" distB="0" distL="114300" distR="114300" simplePos="0" relativeHeight="251660288" behindDoc="0" locked="0" layoutInCell="1" allowOverlap="1">
                      <wp:simplePos x="0" y="0"/>
                      <wp:positionH relativeFrom="column">
                        <wp:posOffset>1491615</wp:posOffset>
                      </wp:positionH>
                      <wp:positionV relativeFrom="paragraph">
                        <wp:posOffset>142240</wp:posOffset>
                      </wp:positionV>
                      <wp:extent cx="676275" cy="0"/>
                      <wp:effectExtent l="0" t="38100" r="9525" b="38100"/>
                      <wp:wrapNone/>
                      <wp:docPr id="9" name="自选图形 9"/>
                      <wp:cNvGraphicFramePr/>
                      <a:graphic xmlns:a="http://schemas.openxmlformats.org/drawingml/2006/main">
                        <a:graphicData uri="http://schemas.microsoft.com/office/word/2010/wordprocessingShape">
                          <wps:wsp>
                            <wps:cNvCnPr/>
                            <wps:spPr>
                              <a:xfrm>
                                <a:off x="0" y="0"/>
                                <a:ext cx="6762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9" o:spid="_x0000_s1026" o:spt="32" type="#_x0000_t32" style="position:absolute;left:0pt;margin-left:117.45pt;margin-top:11.2pt;height:0pt;width:53.25pt;z-index:251660288;mso-width-relative:page;mso-height-relative:page;" filled="f" stroked="t" coordsize="21600,21600" o:gfxdata="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iER52AAAAAkBAAAPAAAAAAAAAAEAIAAAACIAAABkcnMvZG93bnJldi54&#10;bWxQSwECFAAUAAAACACHTuJA7pKnbfoBAADmAwAADgAAAAAAAAABACAAAAAnAQAAZHJzL2Uyb0Rv&#10;Yy54bWxQSwUGAAAAAAYABgBZAQAAkwUAAAAA&#10;">
                      <v:fill on="f" focussize="0,0"/>
                      <v:stroke color="#000000" joinstyle="round" endarrow="block"/>
                      <v:imagedata o:title=""/>
                      <o:lock v:ext="edit" aspectratio="f"/>
                    </v:shape>
                  </w:pict>
                </mc:Fallback>
              </mc:AlternateContent>
            </w:r>
          </w:p>
          <w:p>
            <w:pPr>
              <w:rPr>
                <w:rFonts w:hAnsi="宋体"/>
                <w:b/>
                <w:kern w:val="0"/>
                <w:sz w:val="24"/>
              </w:rPr>
            </w:pPr>
          </w:p>
          <w:p>
            <w:pPr>
              <w:tabs>
                <w:tab w:val="left" w:pos="0"/>
                <w:tab w:val="left" w:pos="3780"/>
              </w:tabs>
              <w:jc w:val="center"/>
              <w:rPr>
                <w:color w:val="000000"/>
                <w:sz w:val="24"/>
              </w:rPr>
            </w:pPr>
          </w:p>
          <w:p>
            <w:pPr>
              <w:tabs>
                <w:tab w:val="left" w:pos="0"/>
              </w:tabs>
              <w:spacing w:line="360" w:lineRule="auto"/>
              <w:jc w:val="center"/>
              <w:rPr>
                <w:b/>
                <w:color w:val="000000"/>
                <w:sz w:val="24"/>
              </w:rPr>
            </w:pPr>
            <w:r>
              <w:rPr>
                <w:b/>
                <w:color w:val="000000"/>
                <w:sz w:val="24"/>
              </w:rPr>
              <w:t xml:space="preserve">图2-1  </w:t>
            </w:r>
            <w:r>
              <w:rPr>
                <w:rFonts w:hint="eastAsia"/>
                <w:b/>
                <w:color w:val="000000"/>
                <w:sz w:val="24"/>
              </w:rPr>
              <w:t>本</w:t>
            </w:r>
            <w:r>
              <w:rPr>
                <w:b/>
                <w:color w:val="000000"/>
                <w:sz w:val="24"/>
              </w:rPr>
              <w:t>项目水平衡图（t/a）</w:t>
            </w:r>
          </w:p>
          <w:p>
            <w:pPr>
              <w:pStyle w:val="3"/>
              <w:jc w:val="center"/>
              <w:rPr>
                <w:color w:val="000000"/>
              </w:rPr>
            </w:pPr>
          </w:p>
          <w:p>
            <w:pPr>
              <w:tabs>
                <w:tab w:val="left" w:pos="0"/>
              </w:tabs>
              <w:spacing w:before="60" w:line="360" w:lineRule="auto"/>
              <w:rPr>
                <w:b/>
                <w:bCs/>
                <w:color w:val="000000"/>
                <w:sz w:val="24"/>
              </w:rPr>
            </w:pPr>
            <w:r>
              <w:rPr>
                <w:b/>
                <w:bCs/>
                <w:color w:val="000000"/>
                <w:sz w:val="24"/>
              </w:rPr>
              <w:t>2.8劳动定员及工作制度</w:t>
            </w:r>
          </w:p>
          <w:p>
            <w:pPr>
              <w:tabs>
                <w:tab w:val="left" w:pos="0"/>
              </w:tabs>
              <w:spacing w:line="360" w:lineRule="auto"/>
              <w:ind w:firstLine="480" w:firstLineChars="200"/>
              <w:rPr>
                <w:color w:val="000000"/>
                <w:sz w:val="24"/>
              </w:rPr>
            </w:pPr>
            <w:r>
              <w:rPr>
                <w:color w:val="000000"/>
                <w:sz w:val="24"/>
              </w:rPr>
              <w:t>项目定员：拟定</w:t>
            </w:r>
            <w:r>
              <w:rPr>
                <w:rFonts w:hint="eastAsia"/>
                <w:color w:val="000000"/>
                <w:sz w:val="24"/>
              </w:rPr>
              <w:t>新增</w:t>
            </w:r>
            <w:r>
              <w:rPr>
                <w:color w:val="000000"/>
                <w:sz w:val="24"/>
              </w:rPr>
              <w:t>职工人数</w:t>
            </w:r>
            <w:r>
              <w:rPr>
                <w:rFonts w:hint="eastAsia"/>
                <w:color w:val="000000"/>
                <w:sz w:val="24"/>
              </w:rPr>
              <w:t>20</w:t>
            </w:r>
            <w:r>
              <w:rPr>
                <w:color w:val="000000"/>
                <w:sz w:val="24"/>
              </w:rPr>
              <w:t>0人，</w:t>
            </w:r>
            <w:r>
              <w:rPr>
                <w:rFonts w:hint="eastAsia"/>
                <w:color w:val="000000"/>
                <w:sz w:val="24"/>
              </w:rPr>
              <w:t>本项目设置餐厅，工作餐为外卖公司配送，不设置浴室住宿等生活设施</w:t>
            </w:r>
            <w:r>
              <w:rPr>
                <w:color w:val="000000"/>
                <w:sz w:val="24"/>
              </w:rPr>
              <w:t>；</w:t>
            </w:r>
          </w:p>
          <w:p>
            <w:pPr>
              <w:tabs>
                <w:tab w:val="left" w:pos="0"/>
              </w:tabs>
              <w:spacing w:line="360" w:lineRule="auto"/>
              <w:ind w:firstLine="480" w:firstLineChars="200"/>
              <w:rPr>
                <w:color w:val="000000"/>
                <w:sz w:val="24"/>
              </w:rPr>
            </w:pPr>
            <w:r>
              <w:rPr>
                <w:color w:val="000000"/>
                <w:sz w:val="24"/>
              </w:rPr>
              <w:t>工作班制：全年工作300天，</w:t>
            </w:r>
            <w:r>
              <w:rPr>
                <w:rFonts w:hint="eastAsia"/>
                <w:color w:val="000000"/>
                <w:sz w:val="24"/>
              </w:rPr>
              <w:t>三</w:t>
            </w:r>
            <w:r>
              <w:rPr>
                <w:color w:val="000000"/>
                <w:sz w:val="24"/>
              </w:rPr>
              <w:t>班制，每班工作</w:t>
            </w:r>
            <w:r>
              <w:rPr>
                <w:rFonts w:hint="eastAsia"/>
                <w:color w:val="000000"/>
                <w:sz w:val="24"/>
              </w:rPr>
              <w:t>8</w:t>
            </w:r>
            <w:r>
              <w:rPr>
                <w:color w:val="000000"/>
                <w:sz w:val="24"/>
              </w:rPr>
              <w:t>小时，年生产时数为</w:t>
            </w:r>
            <w:r>
              <w:rPr>
                <w:rFonts w:hint="eastAsia"/>
                <w:color w:val="000000"/>
                <w:sz w:val="24"/>
              </w:rPr>
              <w:t>72</w:t>
            </w:r>
            <w:r>
              <w:rPr>
                <w:color w:val="000000"/>
                <w:sz w:val="24"/>
              </w:rPr>
              <w:t>00小时。</w:t>
            </w:r>
          </w:p>
          <w:p>
            <w:pPr>
              <w:tabs>
                <w:tab w:val="left" w:pos="0"/>
              </w:tabs>
              <w:spacing w:line="360" w:lineRule="auto"/>
              <w:jc w:val="left"/>
              <w:rPr>
                <w:b/>
                <w:bCs/>
                <w:color w:val="000000"/>
                <w:sz w:val="24"/>
              </w:rPr>
            </w:pPr>
            <w:r>
              <w:rPr>
                <w:b/>
                <w:bCs/>
                <w:color w:val="000000"/>
                <w:sz w:val="24"/>
              </w:rPr>
              <w:t>2.9厂区平面布置</w:t>
            </w:r>
          </w:p>
          <w:p>
            <w:pPr>
              <w:tabs>
                <w:tab w:val="left" w:pos="0"/>
              </w:tabs>
              <w:spacing w:line="360" w:lineRule="auto"/>
              <w:ind w:firstLine="480" w:firstLineChars="200"/>
              <w:rPr>
                <w:color w:val="000000"/>
                <w:sz w:val="24"/>
                <w:highlight w:val="yellow"/>
              </w:rPr>
            </w:pPr>
            <w:r>
              <w:rPr>
                <w:color w:val="000000"/>
                <w:sz w:val="24"/>
              </w:rPr>
              <w:t>本项目</w:t>
            </w:r>
            <w:r>
              <w:rPr>
                <w:rFonts w:hint="eastAsia"/>
                <w:color w:val="000000"/>
                <w:sz w:val="24"/>
              </w:rPr>
              <w:t>购入环保产业园位于</w:t>
            </w:r>
            <w:r>
              <w:rPr>
                <w:color w:val="000000"/>
                <w:sz w:val="24"/>
              </w:rPr>
              <w:t>苏州高新区</w:t>
            </w:r>
            <w:r>
              <w:rPr>
                <w:rFonts w:hint="eastAsia"/>
                <w:color w:val="000000"/>
                <w:sz w:val="24"/>
              </w:rPr>
              <w:t>东渚街道金沙江路158号12幢</w:t>
            </w:r>
            <w:r>
              <w:rPr>
                <w:rFonts w:hint="eastAsia"/>
                <w:color w:val="000000"/>
                <w:sz w:val="24"/>
                <w:lang w:val="en-US" w:eastAsia="zh-CN"/>
              </w:rPr>
              <w:t>202室、</w:t>
            </w:r>
            <w:r>
              <w:rPr>
                <w:rFonts w:hint="eastAsia"/>
                <w:color w:val="000000"/>
                <w:sz w:val="24"/>
              </w:rPr>
              <w:t>302室</w:t>
            </w:r>
            <w:r>
              <w:rPr>
                <w:rFonts w:hint="eastAsia"/>
                <w:color w:val="000000"/>
                <w:sz w:val="24"/>
                <w:lang w:val="en-US" w:eastAsia="zh-CN"/>
              </w:rPr>
              <w:t>和402室</w:t>
            </w:r>
            <w:r>
              <w:rPr>
                <w:rFonts w:hint="eastAsia"/>
                <w:color w:val="000000"/>
                <w:sz w:val="24"/>
              </w:rPr>
              <w:t>已建厂房，项目用地性质为工业用地，12幢厂房共4层，本项目为2层-4层，1层出租，建筑面积为10197m</w:t>
            </w:r>
            <w:r>
              <w:rPr>
                <w:rFonts w:hint="eastAsia"/>
                <w:color w:val="000000"/>
                <w:sz w:val="24"/>
                <w:vertAlign w:val="superscript"/>
              </w:rPr>
              <w:t>2</w:t>
            </w:r>
            <w:r>
              <w:rPr>
                <w:color w:val="000000"/>
                <w:sz w:val="24"/>
              </w:rPr>
              <w:t>。</w:t>
            </w:r>
            <w:r>
              <w:rPr>
                <w:rFonts w:hint="eastAsia"/>
                <w:color w:val="000000"/>
                <w:sz w:val="24"/>
              </w:rPr>
              <w:t>对厂区布局进行调整，调整后厂区分别布置办公区、实验室、印刷车间、洁净室、危险化学品仓库、原料仓库、危废仓库和一般固废仓库等。车间布局合理、物流顺畅，卫生条件和交通、安全、消防均满足企业需要及行业要求。</w:t>
            </w:r>
            <w:r>
              <w:rPr>
                <w:color w:val="000000"/>
                <w:sz w:val="24"/>
              </w:rPr>
              <w:t>项目具体地理位置见附图1，项目周边环境概况图见附图2，项目厂区平面布置图见附图3。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29" w:hRule="atLeast"/>
          <w:jc w:val="center"/>
        </w:trPr>
        <w:tc>
          <w:tcPr>
            <w:tcW w:w="823" w:type="dxa"/>
            <w:vAlign w:val="center"/>
          </w:tcPr>
          <w:p>
            <w:pPr>
              <w:pStyle w:val="17"/>
              <w:adjustRightInd w:val="0"/>
              <w:snapToGrid w:val="0"/>
              <w:spacing w:before="0" w:beforeAutospacing="0" w:after="0" w:afterAutospacing="0"/>
              <w:jc w:val="center"/>
              <w:rPr>
                <w:rFonts w:ascii="Times New Roman" w:hAnsi="Times New Roman"/>
                <w:color w:val="000000"/>
                <w:sz w:val="21"/>
                <w:szCs w:val="21"/>
                <w:highlight w:val="yellow"/>
              </w:rPr>
            </w:pPr>
            <w:r>
              <w:rPr>
                <w:rFonts w:ascii="Times New Roman" w:hAnsi="Times New Roman"/>
                <w:color w:val="000000"/>
                <w:szCs w:val="24"/>
              </w:rPr>
              <w:t>工艺流程和产排污环节</w:t>
            </w:r>
          </w:p>
        </w:tc>
        <w:tc>
          <w:tcPr>
            <w:tcW w:w="8710" w:type="dxa"/>
          </w:tcPr>
          <w:p>
            <w:pPr>
              <w:tabs>
                <w:tab w:val="left" w:pos="0"/>
              </w:tabs>
              <w:spacing w:line="360" w:lineRule="auto"/>
              <w:jc w:val="left"/>
              <w:rPr>
                <w:b/>
                <w:bCs/>
                <w:color w:val="000000"/>
                <w:sz w:val="24"/>
              </w:rPr>
            </w:pPr>
            <w:r>
              <w:rPr>
                <w:b/>
                <w:bCs/>
                <w:color w:val="000000"/>
                <w:sz w:val="24"/>
              </w:rPr>
              <w:t>2.10工艺流程简述：</w:t>
            </w:r>
          </w:p>
          <w:p>
            <w:pPr>
              <w:tabs>
                <w:tab w:val="left" w:pos="0"/>
              </w:tabs>
              <w:spacing w:line="360" w:lineRule="auto"/>
              <w:ind w:firstLine="480"/>
              <w:jc w:val="left"/>
              <w:rPr>
                <w:b/>
                <w:color w:val="000000"/>
                <w:sz w:val="24"/>
              </w:rPr>
            </w:pPr>
            <w:r>
              <w:rPr>
                <w:b/>
                <w:color w:val="000000"/>
                <w:sz w:val="24"/>
              </w:rPr>
              <w:t>一、施工期</w:t>
            </w:r>
          </w:p>
          <w:p>
            <w:pPr>
              <w:spacing w:line="360" w:lineRule="auto"/>
              <w:ind w:firstLine="480" w:firstLineChars="200"/>
              <w:jc w:val="left"/>
              <w:rPr>
                <w:color w:val="000000"/>
                <w:sz w:val="24"/>
              </w:rPr>
            </w:pPr>
            <w:r>
              <w:rPr>
                <w:bCs/>
                <w:color w:val="000000"/>
                <w:sz w:val="24"/>
                <w:lang w:bidi="ar"/>
              </w:rPr>
              <w:t>本项目</w:t>
            </w:r>
            <w:r>
              <w:rPr>
                <w:rFonts w:hint="eastAsia"/>
                <w:bCs/>
                <w:color w:val="000000"/>
                <w:sz w:val="24"/>
                <w:lang w:bidi="ar"/>
              </w:rPr>
              <w:t>购买</w:t>
            </w:r>
            <w:r>
              <w:rPr>
                <w:bCs/>
                <w:color w:val="000000"/>
                <w:sz w:val="24"/>
                <w:lang w:bidi="ar"/>
              </w:rPr>
              <w:t>已建成的工业厂房进行生产，不需要新建厂房，只需进行厂房装修和设备的安装调试。施工期仅在厂房内进行设备的安装及调试，存在短期的设备安装噪声排放，噪声经厂房隔声后对周围环境影响很小。</w:t>
            </w:r>
          </w:p>
          <w:p>
            <w:pPr>
              <w:numPr>
                <w:ilvl w:val="0"/>
                <w:numId w:val="5"/>
              </w:numPr>
              <w:tabs>
                <w:tab w:val="left" w:pos="0"/>
              </w:tabs>
              <w:spacing w:line="360" w:lineRule="auto"/>
              <w:ind w:firstLine="482" w:firstLineChars="200"/>
              <w:jc w:val="left"/>
              <w:rPr>
                <w:b/>
                <w:color w:val="000000"/>
                <w:sz w:val="24"/>
              </w:rPr>
            </w:pPr>
            <w:r>
              <w:rPr>
                <w:b/>
                <w:color w:val="000000"/>
                <w:sz w:val="24"/>
              </w:rPr>
              <w:t>运营期</w:t>
            </w:r>
          </w:p>
          <w:p>
            <w:pPr>
              <w:spacing w:line="360" w:lineRule="auto"/>
              <w:ind w:firstLine="482" w:firstLineChars="200"/>
              <w:jc w:val="left"/>
              <w:rPr>
                <w:b/>
                <w:color w:val="000000"/>
                <w:sz w:val="24"/>
              </w:rPr>
            </w:pPr>
            <w:r>
              <w:rPr>
                <w:b/>
                <w:color w:val="000000"/>
                <w:sz w:val="24"/>
              </w:rPr>
              <w:t>1、工艺流程</w:t>
            </w:r>
          </w:p>
          <w:p>
            <w:pPr>
              <w:snapToGrid w:val="0"/>
              <w:spacing w:line="300" w:lineRule="auto"/>
              <w:jc w:val="center"/>
              <w:rPr>
                <w:b/>
                <w:color w:val="000000"/>
                <w:sz w:val="24"/>
              </w:rPr>
            </w:pPr>
            <w:r>
              <w:rPr>
                <w:rFonts w:eastAsia="黑体"/>
                <w:bCs/>
                <w:color w:val="000000"/>
                <w:sz w:val="32"/>
                <w:szCs w:val="32"/>
              </w:rPr>
              <w:object>
                <v:shape id="_x0000_i1025" o:spt="75" type="#_x0000_t75" style="height:256.8pt;width:439.8pt;" o:ole="t" filled="f" o:preferrelative="t" stroked="f" coordsize="21600,21600">
                  <v:path/>
                  <v:fill on="f" focussize="0,0"/>
                  <v:stroke on="f"/>
                  <v:imagedata r:id="rId7" o:title=""/>
                  <o:lock v:ext="edit" aspectratio="f"/>
                  <w10:wrap type="none"/>
                  <w10:anchorlock/>
                </v:shape>
                <o:OLEObject Type="Embed" ProgID="Visio.Drawing.15" ShapeID="_x0000_i1025" DrawAspect="Content" ObjectID="_1468075725" r:id="rId6">
                  <o:LockedField>false</o:LockedField>
                </o:OLEObject>
              </w:object>
            </w:r>
            <w:r>
              <w:rPr>
                <w:b/>
                <w:color w:val="000000"/>
                <w:sz w:val="24"/>
              </w:rPr>
              <w:t>图2-</w:t>
            </w:r>
            <w:r>
              <w:rPr>
                <w:rFonts w:hint="eastAsia"/>
                <w:b/>
                <w:color w:val="000000"/>
                <w:sz w:val="24"/>
              </w:rPr>
              <w:t>2</w:t>
            </w:r>
            <w:r>
              <w:rPr>
                <w:b/>
                <w:color w:val="000000"/>
                <w:sz w:val="24"/>
              </w:rPr>
              <w:t xml:space="preserve">  生产工艺流程</w:t>
            </w:r>
          </w:p>
          <w:p>
            <w:pPr>
              <w:pStyle w:val="6"/>
              <w:spacing w:before="0" w:after="0" w:line="360" w:lineRule="auto"/>
              <w:ind w:firstLine="482" w:firstLineChars="200"/>
              <w:rPr>
                <w:color w:val="000000"/>
                <w:sz w:val="24"/>
              </w:rPr>
            </w:pPr>
            <w:r>
              <w:rPr>
                <w:color w:val="000000"/>
                <w:sz w:val="24"/>
              </w:rPr>
              <w:t>平面刻码：</w:t>
            </w:r>
            <w:r>
              <w:rPr>
                <w:b w:val="0"/>
                <w:bCs w:val="0"/>
                <w:color w:val="000000"/>
                <w:sz w:val="24"/>
              </w:rPr>
              <w:t>通过激光印字机在基板表面上进行刻录，产生微量烟尘；</w:t>
            </w:r>
            <w:r>
              <w:rPr>
                <w:b w:val="0"/>
                <w:bCs w:val="0"/>
                <w:color w:val="000000"/>
                <w:sz w:val="24"/>
                <w:szCs w:val="24"/>
              </w:rPr>
              <w:t>本项目采用激光机对产品表面进行刻印，产生微量烟尘，本报告不做定量分析。</w:t>
            </w:r>
          </w:p>
          <w:p>
            <w:pPr>
              <w:spacing w:line="360" w:lineRule="auto"/>
              <w:ind w:firstLine="482" w:firstLineChars="200"/>
              <w:rPr>
                <w:color w:val="000000"/>
              </w:rPr>
            </w:pPr>
            <w:r>
              <w:rPr>
                <w:rFonts w:hint="eastAsia"/>
                <w:b/>
                <w:color w:val="000000"/>
                <w:sz w:val="24"/>
                <w:lang w:eastAsia="zh-CN"/>
              </w:rPr>
              <w:t>网版</w:t>
            </w:r>
            <w:r>
              <w:rPr>
                <w:rFonts w:hint="eastAsia"/>
                <w:b/>
                <w:color w:val="000000"/>
                <w:sz w:val="24"/>
              </w:rPr>
              <w:t>清洗</w:t>
            </w:r>
            <w:r>
              <w:rPr>
                <w:b/>
                <w:color w:val="000000"/>
                <w:sz w:val="24"/>
              </w:rPr>
              <w:t>：</w:t>
            </w:r>
            <w:r>
              <w:rPr>
                <w:rFonts w:hint="eastAsia"/>
                <w:color w:val="000000"/>
                <w:sz w:val="24"/>
              </w:rPr>
              <w:t>SMT器件生产过程中为达到印刷精度要求，对</w:t>
            </w:r>
            <w:r>
              <w:rPr>
                <w:rFonts w:hint="eastAsia"/>
                <w:color w:val="000000"/>
                <w:sz w:val="24"/>
                <w:lang w:eastAsia="zh-CN"/>
              </w:rPr>
              <w:t>网版</w:t>
            </w:r>
            <w:r>
              <w:rPr>
                <w:rFonts w:hint="eastAsia"/>
                <w:color w:val="000000"/>
                <w:sz w:val="24"/>
              </w:rPr>
              <w:t>清洁度也有要求，如果印刷</w:t>
            </w:r>
            <w:r>
              <w:rPr>
                <w:rFonts w:hint="eastAsia"/>
                <w:color w:val="000000"/>
                <w:sz w:val="24"/>
                <w:lang w:eastAsia="zh-CN"/>
              </w:rPr>
              <w:t>网版</w:t>
            </w:r>
            <w:r>
              <w:rPr>
                <w:rFonts w:hint="eastAsia"/>
                <w:color w:val="000000"/>
                <w:sz w:val="24"/>
              </w:rPr>
              <w:t>表面洁净度无法达到要求，对产品的质量将产生很大影响，故增加清洗工序，</w:t>
            </w:r>
            <w:r>
              <w:rPr>
                <w:bCs/>
                <w:color w:val="000000"/>
                <w:sz w:val="24"/>
              </w:rPr>
              <w:t>印刷机</w:t>
            </w:r>
            <w:r>
              <w:rPr>
                <w:rFonts w:hint="eastAsia"/>
                <w:bCs/>
                <w:color w:val="000000"/>
                <w:sz w:val="24"/>
                <w:lang w:eastAsia="zh-CN"/>
              </w:rPr>
              <w:t>网版</w:t>
            </w:r>
            <w:r>
              <w:rPr>
                <w:rFonts w:hint="eastAsia"/>
                <w:bCs/>
                <w:color w:val="000000"/>
                <w:sz w:val="24"/>
              </w:rPr>
              <w:t>定期放入清洗机清洗，</w:t>
            </w:r>
            <w:r>
              <w:rPr>
                <w:rFonts w:hint="eastAsia"/>
                <w:bCs/>
                <w:color w:val="000000"/>
                <w:sz w:val="24"/>
                <w:lang w:val="en-US" w:eastAsia="zh-CN"/>
              </w:rPr>
              <w:t>清洗机密闭清洗，</w:t>
            </w:r>
            <w:r>
              <w:rPr>
                <w:bCs/>
                <w:color w:val="000000"/>
                <w:sz w:val="24"/>
              </w:rPr>
              <w:t>此过程产生</w:t>
            </w:r>
            <w:r>
              <w:rPr>
                <w:color w:val="000000"/>
                <w:sz w:val="24"/>
              </w:rPr>
              <w:t>清洗废气</w:t>
            </w:r>
            <w:r>
              <w:rPr>
                <w:bCs/>
                <w:color w:val="000000"/>
                <w:sz w:val="24"/>
              </w:rPr>
              <w:t>G1，</w:t>
            </w:r>
            <w:r>
              <w:rPr>
                <w:rFonts w:hint="eastAsia"/>
                <w:bCs/>
                <w:color w:val="000000"/>
                <w:sz w:val="24"/>
              </w:rPr>
              <w:t>清洗废液</w:t>
            </w:r>
            <w:r>
              <w:rPr>
                <w:bCs/>
                <w:color w:val="000000"/>
                <w:sz w:val="24"/>
              </w:rPr>
              <w:t>S1；</w:t>
            </w:r>
          </w:p>
          <w:p>
            <w:pPr>
              <w:spacing w:line="360" w:lineRule="auto"/>
              <w:ind w:firstLine="482" w:firstLineChars="200"/>
              <w:rPr>
                <w:bCs/>
                <w:color w:val="000000"/>
                <w:sz w:val="24"/>
              </w:rPr>
            </w:pPr>
            <w:r>
              <w:rPr>
                <w:b/>
                <w:color w:val="000000"/>
                <w:sz w:val="24"/>
              </w:rPr>
              <w:t>印刷：</w:t>
            </w:r>
            <w:r>
              <w:rPr>
                <w:bCs/>
                <w:color w:val="000000"/>
                <w:sz w:val="24"/>
              </w:rPr>
              <w:t>通过印刷机将锡膏涂布在基板上，以便零件粘附其上。此过程废锡膏S2；</w:t>
            </w:r>
          </w:p>
          <w:p>
            <w:pPr>
              <w:spacing w:line="360" w:lineRule="auto"/>
              <w:ind w:firstLine="482" w:firstLineChars="200"/>
              <w:rPr>
                <w:bCs/>
                <w:color w:val="000000"/>
                <w:sz w:val="24"/>
              </w:rPr>
            </w:pPr>
            <w:r>
              <w:rPr>
                <w:rFonts w:hint="eastAsia"/>
                <w:b/>
                <w:color w:val="000000"/>
                <w:sz w:val="24"/>
              </w:rPr>
              <w:t>贴装：</w:t>
            </w:r>
            <w:r>
              <w:rPr>
                <w:rFonts w:hint="eastAsia"/>
                <w:bCs/>
                <w:color w:val="000000"/>
                <w:sz w:val="24"/>
              </w:rPr>
              <w:t>印刷后</w:t>
            </w:r>
            <w:r>
              <w:rPr>
                <w:bCs/>
                <w:color w:val="000000"/>
                <w:sz w:val="24"/>
              </w:rPr>
              <w:t>PCB</w:t>
            </w:r>
            <w:r>
              <w:rPr>
                <w:rFonts w:hint="eastAsia"/>
                <w:bCs/>
                <w:color w:val="000000"/>
                <w:sz w:val="24"/>
              </w:rPr>
              <w:t xml:space="preserve">进入贴片机，利用吸嘴吸取元器件对产品进行贴装； </w:t>
            </w:r>
          </w:p>
          <w:p>
            <w:pPr>
              <w:spacing w:line="360" w:lineRule="auto"/>
              <w:ind w:firstLine="482" w:firstLineChars="200"/>
              <w:rPr>
                <w:bCs/>
                <w:color w:val="000000"/>
                <w:sz w:val="24"/>
              </w:rPr>
            </w:pPr>
            <w:r>
              <w:rPr>
                <w:rFonts w:hint="eastAsia"/>
                <w:b/>
                <w:color w:val="000000"/>
                <w:sz w:val="24"/>
              </w:rPr>
              <w:t>回流焊焊接</w:t>
            </w:r>
            <w:r>
              <w:rPr>
                <w:rFonts w:hint="eastAsia"/>
                <w:bCs/>
                <w:color w:val="000000"/>
                <w:sz w:val="24"/>
              </w:rPr>
              <w:t xml:space="preserve">：将贴装后的电路板放入回流焊机内进行焊接，回流焊是通过固化预先分配到线路板的锡膏，实现表面组装元器件与线路板牢固粘接固化在一起。回流焊机采用电加热，温度 </w:t>
            </w:r>
            <w:r>
              <w:rPr>
                <w:bCs/>
                <w:color w:val="000000"/>
                <w:sz w:val="24"/>
              </w:rPr>
              <w:t>250℃</w:t>
            </w:r>
            <w:r>
              <w:rPr>
                <w:rFonts w:hint="eastAsia"/>
                <w:bCs/>
                <w:color w:val="000000"/>
                <w:sz w:val="24"/>
              </w:rPr>
              <w:t>，整个回流焊过程为封闭式，产生回流焊焊接废气</w:t>
            </w:r>
            <w:r>
              <w:rPr>
                <w:bCs/>
                <w:color w:val="000000"/>
                <w:sz w:val="24"/>
              </w:rPr>
              <w:t>G</w:t>
            </w:r>
            <w:r>
              <w:rPr>
                <w:rFonts w:hint="eastAsia"/>
                <w:bCs/>
                <w:color w:val="000000"/>
                <w:sz w:val="24"/>
              </w:rPr>
              <w:t>2（锡及其化合物、非甲烷总烃）；</w:t>
            </w:r>
          </w:p>
          <w:p>
            <w:pPr>
              <w:spacing w:line="360" w:lineRule="auto"/>
              <w:ind w:firstLine="482" w:firstLineChars="200"/>
              <w:rPr>
                <w:bCs/>
                <w:color w:val="000000"/>
                <w:sz w:val="24"/>
              </w:rPr>
            </w:pPr>
            <w:r>
              <w:rPr>
                <w:rFonts w:hint="eastAsia" w:ascii="宋体" w:hAnsi="宋体" w:cs="宋体"/>
                <w:b/>
                <w:bCs/>
                <w:color w:val="000000"/>
                <w:kern w:val="0"/>
                <w:sz w:val="24"/>
                <w:lang w:bidi="ar"/>
              </w:rPr>
              <w:t>光</w:t>
            </w:r>
            <w:r>
              <w:rPr>
                <w:rFonts w:hint="eastAsia"/>
                <w:b/>
                <w:color w:val="000000"/>
                <w:sz w:val="24"/>
              </w:rPr>
              <w:t>学检测：</w:t>
            </w:r>
            <w:r>
              <w:rPr>
                <w:rFonts w:hint="eastAsia"/>
                <w:bCs/>
                <w:color w:val="000000"/>
                <w:sz w:val="24"/>
              </w:rPr>
              <w:t>固化后的</w:t>
            </w:r>
            <w:r>
              <w:rPr>
                <w:bCs/>
                <w:color w:val="000000"/>
                <w:sz w:val="24"/>
              </w:rPr>
              <w:t xml:space="preserve">PCB </w:t>
            </w:r>
            <w:r>
              <w:rPr>
                <w:rFonts w:hint="eastAsia"/>
                <w:bCs/>
                <w:color w:val="000000"/>
                <w:sz w:val="24"/>
              </w:rPr>
              <w:t xml:space="preserve">经过轨道进入收板机将产品收起来，收板机周转箱收集的基板放入 </w:t>
            </w:r>
            <w:r>
              <w:rPr>
                <w:bCs/>
                <w:color w:val="000000"/>
                <w:sz w:val="24"/>
              </w:rPr>
              <w:t>AOI(</w:t>
            </w:r>
            <w:r>
              <w:rPr>
                <w:rFonts w:hint="eastAsia"/>
                <w:bCs/>
                <w:color w:val="000000"/>
                <w:sz w:val="24"/>
              </w:rPr>
              <w:t>自动光学检测仪）进行检查，确认是否有缺件</w:t>
            </w:r>
            <w:r>
              <w:rPr>
                <w:bCs/>
                <w:color w:val="000000"/>
                <w:sz w:val="24"/>
              </w:rPr>
              <w:t>/</w:t>
            </w:r>
            <w:r>
              <w:rPr>
                <w:rFonts w:hint="eastAsia"/>
                <w:bCs/>
                <w:color w:val="000000"/>
                <w:sz w:val="24"/>
              </w:rPr>
              <w:t>短路</w:t>
            </w:r>
            <w:r>
              <w:rPr>
                <w:bCs/>
                <w:color w:val="000000"/>
                <w:sz w:val="24"/>
              </w:rPr>
              <w:t>/</w:t>
            </w:r>
            <w:r>
              <w:rPr>
                <w:rFonts w:hint="eastAsia"/>
                <w:bCs/>
                <w:color w:val="000000"/>
                <w:sz w:val="24"/>
              </w:rPr>
              <w:t>脚翘</w:t>
            </w:r>
            <w:r>
              <w:rPr>
                <w:bCs/>
                <w:color w:val="000000"/>
                <w:sz w:val="24"/>
              </w:rPr>
              <w:t>/</w:t>
            </w:r>
            <w:r>
              <w:rPr>
                <w:rFonts w:hint="eastAsia"/>
                <w:bCs/>
                <w:color w:val="000000"/>
                <w:sz w:val="24"/>
              </w:rPr>
              <w:t xml:space="preserve">立碑等不良，完好的基板放入周转箱内； </w:t>
            </w:r>
          </w:p>
          <w:p>
            <w:pPr>
              <w:spacing w:line="360" w:lineRule="auto"/>
              <w:ind w:firstLine="482" w:firstLineChars="200"/>
              <w:rPr>
                <w:bCs/>
                <w:color w:val="000000"/>
                <w:sz w:val="24"/>
              </w:rPr>
            </w:pPr>
            <w:r>
              <w:rPr>
                <w:rFonts w:hint="eastAsia"/>
                <w:b/>
                <w:color w:val="000000"/>
                <w:sz w:val="24"/>
              </w:rPr>
              <w:t>补焊：</w:t>
            </w:r>
            <w:r>
              <w:rPr>
                <w:bCs/>
                <w:color w:val="000000"/>
                <w:sz w:val="24"/>
              </w:rPr>
              <w:t xml:space="preserve">AOI </w:t>
            </w:r>
            <w:r>
              <w:rPr>
                <w:rFonts w:hint="eastAsia"/>
                <w:bCs/>
                <w:color w:val="000000"/>
                <w:sz w:val="24"/>
              </w:rPr>
              <w:t xml:space="preserve">检查出的不良品需利用烙铁使锡丝融化进行补焊，在操作台使用电烙铁进行手工补焊，使用无铅焊锡丝及少量的助焊膏作为焊料，焊接过程有焊接废气 </w:t>
            </w:r>
            <w:r>
              <w:rPr>
                <w:bCs/>
                <w:color w:val="000000"/>
                <w:sz w:val="24"/>
              </w:rPr>
              <w:t>G</w:t>
            </w:r>
            <w:r>
              <w:rPr>
                <w:rFonts w:hint="eastAsia"/>
                <w:bCs/>
                <w:color w:val="000000"/>
                <w:sz w:val="24"/>
              </w:rPr>
              <w:t>3（锡及其化合物、非甲烷总烃）产生</w:t>
            </w:r>
            <w:r>
              <w:rPr>
                <w:bCs/>
                <w:color w:val="000000"/>
                <w:sz w:val="24"/>
              </w:rPr>
              <w:t>；</w:t>
            </w:r>
          </w:p>
          <w:p>
            <w:pPr>
              <w:spacing w:line="360" w:lineRule="auto"/>
              <w:ind w:firstLine="482" w:firstLineChars="200"/>
              <w:rPr>
                <w:bCs/>
                <w:color w:val="000000"/>
                <w:sz w:val="24"/>
              </w:rPr>
            </w:pPr>
            <w:r>
              <w:rPr>
                <w:rFonts w:hint="eastAsia"/>
                <w:b/>
                <w:color w:val="000000"/>
                <w:sz w:val="24"/>
              </w:rPr>
              <w:t>插件：</w:t>
            </w:r>
            <w:r>
              <w:rPr>
                <w:rFonts w:hint="eastAsia"/>
                <w:bCs/>
                <w:color w:val="000000"/>
                <w:sz w:val="24"/>
              </w:rPr>
              <w:t xml:space="preserve">将裁好的 </w:t>
            </w:r>
            <w:r>
              <w:rPr>
                <w:bCs/>
                <w:color w:val="000000"/>
                <w:sz w:val="24"/>
              </w:rPr>
              <w:t xml:space="preserve">PCB </w:t>
            </w:r>
            <w:r>
              <w:rPr>
                <w:rFonts w:hint="eastAsia"/>
                <w:bCs/>
                <w:color w:val="000000"/>
                <w:sz w:val="24"/>
              </w:rPr>
              <w:t xml:space="preserve">放置到治具上，然后将零件插入 </w:t>
            </w:r>
            <w:r>
              <w:rPr>
                <w:bCs/>
                <w:color w:val="000000"/>
                <w:sz w:val="24"/>
              </w:rPr>
              <w:t xml:space="preserve">PCB </w:t>
            </w:r>
            <w:r>
              <w:rPr>
                <w:rFonts w:hint="eastAsia"/>
                <w:bCs/>
                <w:color w:val="000000"/>
                <w:sz w:val="24"/>
              </w:rPr>
              <w:t xml:space="preserve">的对应孔内； </w:t>
            </w:r>
          </w:p>
          <w:p>
            <w:pPr>
              <w:spacing w:line="360" w:lineRule="auto"/>
              <w:ind w:firstLine="482" w:firstLineChars="200"/>
              <w:rPr>
                <w:bCs/>
                <w:color w:val="000000"/>
                <w:sz w:val="24"/>
              </w:rPr>
            </w:pPr>
            <w:r>
              <w:rPr>
                <w:rFonts w:hint="eastAsia"/>
                <w:b/>
                <w:color w:val="000000"/>
                <w:sz w:val="24"/>
              </w:rPr>
              <w:t>波峰焊焊接：</w:t>
            </w:r>
            <w:r>
              <w:rPr>
                <w:rFonts w:hint="eastAsia"/>
                <w:bCs/>
                <w:color w:val="000000"/>
                <w:sz w:val="24"/>
              </w:rPr>
              <w:t xml:space="preserve">插件好的 </w:t>
            </w:r>
            <w:r>
              <w:rPr>
                <w:bCs/>
                <w:color w:val="000000"/>
                <w:sz w:val="24"/>
              </w:rPr>
              <w:t xml:space="preserve">PCB </w:t>
            </w:r>
            <w:r>
              <w:rPr>
                <w:rFonts w:hint="eastAsia"/>
                <w:bCs/>
                <w:color w:val="000000"/>
                <w:sz w:val="24"/>
              </w:rPr>
              <w:t xml:space="preserve">进入波峰焊，插装好电子零件的电路板通过无铅锡条波峰焊，整个焊接过程为封闭式，通过传送带将线路板送入波峰槽内进行焊接。波峰焊机采用电加热，温度控制在 </w:t>
            </w:r>
            <w:r>
              <w:rPr>
                <w:bCs/>
                <w:color w:val="000000"/>
                <w:sz w:val="24"/>
              </w:rPr>
              <w:t>250℃</w:t>
            </w:r>
            <w:r>
              <w:rPr>
                <w:rFonts w:hint="eastAsia"/>
                <w:bCs/>
                <w:color w:val="000000"/>
                <w:sz w:val="24"/>
              </w:rPr>
              <w:t xml:space="preserve">，助焊剂在焊接过程中全部挥发。该工序有焊接废气 </w:t>
            </w:r>
            <w:r>
              <w:rPr>
                <w:bCs/>
                <w:color w:val="000000"/>
                <w:sz w:val="24"/>
              </w:rPr>
              <w:t>G</w:t>
            </w:r>
            <w:r>
              <w:rPr>
                <w:rFonts w:hint="eastAsia"/>
                <w:bCs/>
                <w:color w:val="000000"/>
                <w:sz w:val="24"/>
              </w:rPr>
              <w:t xml:space="preserve">4（锡及其化合物、非甲烷总烃）产生； </w:t>
            </w:r>
          </w:p>
          <w:p>
            <w:pPr>
              <w:spacing w:line="360" w:lineRule="auto"/>
              <w:ind w:firstLine="482" w:firstLineChars="200"/>
              <w:rPr>
                <w:bCs/>
                <w:color w:val="000000"/>
                <w:sz w:val="24"/>
              </w:rPr>
            </w:pPr>
            <w:r>
              <w:rPr>
                <w:rFonts w:hint="eastAsia"/>
                <w:b/>
                <w:color w:val="000000"/>
                <w:sz w:val="24"/>
              </w:rPr>
              <w:t>补焊：</w:t>
            </w:r>
            <w:r>
              <w:rPr>
                <w:rFonts w:hint="eastAsia"/>
                <w:bCs/>
                <w:color w:val="000000"/>
                <w:sz w:val="24"/>
              </w:rPr>
              <w:t xml:space="preserve">焊接过程中出现的焊接缺陷，在操作台使用电烙铁进行手工补焊，使用无铅锡丝作为焊料，焊接过程有焊接废气 </w:t>
            </w:r>
            <w:r>
              <w:rPr>
                <w:bCs/>
                <w:color w:val="000000"/>
                <w:sz w:val="24"/>
              </w:rPr>
              <w:t>G</w:t>
            </w:r>
            <w:r>
              <w:rPr>
                <w:rFonts w:hint="eastAsia"/>
                <w:bCs/>
                <w:color w:val="000000"/>
                <w:sz w:val="24"/>
              </w:rPr>
              <w:t>5（锡及其化合物、非甲烷总烃）产生；</w:t>
            </w:r>
          </w:p>
          <w:p>
            <w:pPr>
              <w:spacing w:line="360" w:lineRule="auto"/>
              <w:ind w:firstLine="482" w:firstLineChars="200"/>
              <w:rPr>
                <w:bCs/>
                <w:color w:val="000000"/>
                <w:sz w:val="24"/>
              </w:rPr>
            </w:pPr>
            <w:r>
              <w:rPr>
                <w:rFonts w:hint="eastAsia"/>
                <w:b/>
                <w:color w:val="000000"/>
                <w:sz w:val="24"/>
              </w:rPr>
              <w:t>涂覆：</w:t>
            </w:r>
            <w:r>
              <w:rPr>
                <w:rFonts w:hint="eastAsia"/>
                <w:bCs/>
                <w:color w:val="000000"/>
                <w:sz w:val="24"/>
              </w:rPr>
              <w:t>测试合格的产品利用三防漆对产品喷涂三防漆，涂覆过程中三防漆有溶剂挥发</w:t>
            </w:r>
            <w:r>
              <w:rPr>
                <w:bCs/>
                <w:color w:val="000000"/>
                <w:sz w:val="24"/>
              </w:rPr>
              <w:t>G</w:t>
            </w:r>
            <w:r>
              <w:rPr>
                <w:rFonts w:hint="eastAsia"/>
                <w:bCs/>
                <w:color w:val="000000"/>
                <w:sz w:val="24"/>
              </w:rPr>
              <w:t>6（非甲烷总烃）；</w:t>
            </w:r>
          </w:p>
          <w:p>
            <w:pPr>
              <w:spacing w:line="360" w:lineRule="auto"/>
              <w:ind w:firstLine="482" w:firstLineChars="200"/>
              <w:rPr>
                <w:bCs/>
                <w:color w:val="000000"/>
                <w:sz w:val="24"/>
              </w:rPr>
            </w:pPr>
            <w:r>
              <w:rPr>
                <w:rFonts w:hint="eastAsia"/>
                <w:b/>
                <w:color w:val="000000"/>
                <w:sz w:val="24"/>
              </w:rPr>
              <w:t>固化：</w:t>
            </w:r>
            <w:r>
              <w:rPr>
                <w:rFonts w:hint="eastAsia"/>
                <w:bCs/>
                <w:color w:val="000000"/>
                <w:sz w:val="24"/>
              </w:rPr>
              <w:t xml:space="preserve">涂覆合格的产品经过固化炉高温后使三防漆凝固，固化过程三防漆中有机溶剂全部挥发 </w:t>
            </w:r>
            <w:r>
              <w:rPr>
                <w:bCs/>
                <w:color w:val="000000"/>
                <w:sz w:val="24"/>
              </w:rPr>
              <w:t>G</w:t>
            </w:r>
            <w:r>
              <w:rPr>
                <w:rFonts w:hint="eastAsia"/>
                <w:bCs/>
                <w:color w:val="000000"/>
                <w:sz w:val="24"/>
              </w:rPr>
              <w:t xml:space="preserve">7（非甲烷总烃），不合格品S3作为固废委外处理； </w:t>
            </w:r>
          </w:p>
          <w:p>
            <w:pPr>
              <w:spacing w:line="360" w:lineRule="auto"/>
              <w:ind w:firstLine="482" w:firstLineChars="200"/>
              <w:rPr>
                <w:bCs/>
                <w:color w:val="000000"/>
                <w:sz w:val="24"/>
              </w:rPr>
            </w:pPr>
            <w:r>
              <w:rPr>
                <w:rFonts w:hint="eastAsia"/>
                <w:b/>
                <w:color w:val="000000"/>
                <w:sz w:val="24"/>
              </w:rPr>
              <w:t>点胶：</w:t>
            </w:r>
            <w:r>
              <w:rPr>
                <w:rFonts w:hint="eastAsia"/>
                <w:bCs/>
                <w:color w:val="000000"/>
                <w:sz w:val="24"/>
              </w:rPr>
              <w:t xml:space="preserve">从固化炉出来的产品对产品上的零件进行点胶（采用固定胶）处理，点胶自然固化，并检查三防漆外观， 点胶过程使用的化学品有有机溶剂挥发 </w:t>
            </w:r>
            <w:r>
              <w:rPr>
                <w:bCs/>
                <w:color w:val="000000"/>
                <w:sz w:val="24"/>
              </w:rPr>
              <w:t>G</w:t>
            </w:r>
            <w:r>
              <w:rPr>
                <w:rFonts w:hint="eastAsia"/>
                <w:bCs/>
                <w:color w:val="000000"/>
                <w:sz w:val="24"/>
              </w:rPr>
              <w:t xml:space="preserve">8（非甲烷总烃）以及废弃擦拭纸 </w:t>
            </w:r>
            <w:r>
              <w:rPr>
                <w:bCs/>
                <w:color w:val="000000"/>
                <w:sz w:val="24"/>
              </w:rPr>
              <w:t>S</w:t>
            </w:r>
            <w:r>
              <w:rPr>
                <w:rFonts w:hint="eastAsia"/>
                <w:bCs/>
                <w:color w:val="000000"/>
                <w:sz w:val="24"/>
              </w:rPr>
              <w:t>4；</w:t>
            </w:r>
          </w:p>
          <w:p>
            <w:pPr>
              <w:spacing w:line="360" w:lineRule="auto"/>
              <w:ind w:firstLine="482" w:firstLineChars="200"/>
              <w:rPr>
                <w:bCs/>
                <w:color w:val="000000"/>
                <w:sz w:val="24"/>
              </w:rPr>
            </w:pPr>
            <w:r>
              <w:rPr>
                <w:rFonts w:hint="eastAsia"/>
                <w:b/>
                <w:color w:val="000000"/>
                <w:sz w:val="24"/>
              </w:rPr>
              <w:t>清除涂覆：</w:t>
            </w:r>
            <w:r>
              <w:rPr>
                <w:rFonts w:hint="eastAsia"/>
                <w:bCs/>
                <w:color w:val="000000"/>
                <w:sz w:val="24"/>
              </w:rPr>
              <w:t xml:space="preserve">涂覆不好的产品需要使用三防漆稀释剂清除，清洗废物采用擦拭纸擦拭去除，清除过程中有溶剂挥发产生 </w:t>
            </w:r>
            <w:r>
              <w:rPr>
                <w:bCs/>
                <w:color w:val="000000"/>
                <w:sz w:val="24"/>
              </w:rPr>
              <w:t>G</w:t>
            </w:r>
            <w:r>
              <w:rPr>
                <w:rFonts w:hint="eastAsia"/>
                <w:bCs/>
                <w:color w:val="000000"/>
                <w:sz w:val="24"/>
              </w:rPr>
              <w:t>9（非甲烷总烃）。</w:t>
            </w:r>
          </w:p>
          <w:p>
            <w:pPr>
              <w:tabs>
                <w:tab w:val="left" w:pos="1159"/>
              </w:tabs>
              <w:spacing w:before="60"/>
              <w:jc w:val="center"/>
              <w:rPr>
                <w:b/>
                <w:color w:val="000000"/>
                <w:sz w:val="24"/>
              </w:rPr>
            </w:pPr>
            <w:r>
              <w:rPr>
                <w:b/>
                <w:color w:val="000000"/>
                <w:sz w:val="24"/>
              </w:rPr>
              <w:t>表2-6  产污环节一览表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848"/>
              <w:gridCol w:w="1371"/>
              <w:gridCol w:w="1093"/>
              <w:gridCol w:w="1675"/>
              <w:gridCol w:w="150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54" w:type="pct"/>
                  <w:vAlign w:val="center"/>
                </w:tcPr>
                <w:p>
                  <w:pPr>
                    <w:pStyle w:val="61"/>
                    <w:rPr>
                      <w:b/>
                      <w:bCs/>
                      <w:color w:val="000000"/>
                      <w:szCs w:val="21"/>
                    </w:rPr>
                  </w:pPr>
                  <w:r>
                    <w:rPr>
                      <w:b/>
                      <w:bCs/>
                      <w:color w:val="000000"/>
                      <w:szCs w:val="21"/>
                    </w:rPr>
                    <w:t>废物类别</w:t>
                  </w:r>
                </w:p>
              </w:tc>
              <w:tc>
                <w:tcPr>
                  <w:tcW w:w="500" w:type="pct"/>
                  <w:vAlign w:val="center"/>
                </w:tcPr>
                <w:p>
                  <w:pPr>
                    <w:pStyle w:val="61"/>
                    <w:rPr>
                      <w:b/>
                      <w:bCs/>
                      <w:color w:val="000000"/>
                      <w:szCs w:val="21"/>
                    </w:rPr>
                  </w:pPr>
                  <w:r>
                    <w:rPr>
                      <w:b/>
                      <w:bCs/>
                      <w:color w:val="000000"/>
                      <w:szCs w:val="21"/>
                    </w:rPr>
                    <w:t>编号</w:t>
                  </w:r>
                </w:p>
              </w:tc>
              <w:tc>
                <w:tcPr>
                  <w:tcW w:w="807" w:type="pct"/>
                  <w:vAlign w:val="center"/>
                </w:tcPr>
                <w:p>
                  <w:pPr>
                    <w:pStyle w:val="61"/>
                    <w:rPr>
                      <w:b/>
                      <w:bCs/>
                      <w:color w:val="000000"/>
                      <w:szCs w:val="21"/>
                    </w:rPr>
                  </w:pPr>
                  <w:r>
                    <w:rPr>
                      <w:b/>
                      <w:bCs/>
                      <w:color w:val="000000"/>
                      <w:szCs w:val="21"/>
                    </w:rPr>
                    <w:t>污染物名称</w:t>
                  </w:r>
                </w:p>
              </w:tc>
              <w:tc>
                <w:tcPr>
                  <w:tcW w:w="643" w:type="pct"/>
                  <w:vAlign w:val="center"/>
                </w:tcPr>
                <w:p>
                  <w:pPr>
                    <w:pStyle w:val="61"/>
                    <w:rPr>
                      <w:b/>
                      <w:bCs/>
                      <w:color w:val="000000"/>
                      <w:szCs w:val="21"/>
                    </w:rPr>
                  </w:pPr>
                  <w:r>
                    <w:rPr>
                      <w:b/>
                      <w:bCs/>
                      <w:color w:val="000000"/>
                      <w:szCs w:val="21"/>
                    </w:rPr>
                    <w:t>产污工序</w:t>
                  </w:r>
                </w:p>
              </w:tc>
              <w:tc>
                <w:tcPr>
                  <w:tcW w:w="986" w:type="pct"/>
                  <w:vAlign w:val="center"/>
                </w:tcPr>
                <w:p>
                  <w:pPr>
                    <w:pStyle w:val="61"/>
                    <w:rPr>
                      <w:b/>
                      <w:bCs/>
                      <w:color w:val="000000"/>
                      <w:szCs w:val="21"/>
                    </w:rPr>
                  </w:pPr>
                  <w:r>
                    <w:rPr>
                      <w:b/>
                      <w:bCs/>
                      <w:color w:val="000000"/>
                      <w:szCs w:val="21"/>
                    </w:rPr>
                    <w:t>主要污染物</w:t>
                  </w:r>
                </w:p>
              </w:tc>
              <w:tc>
                <w:tcPr>
                  <w:tcW w:w="885" w:type="pct"/>
                  <w:vAlign w:val="center"/>
                </w:tcPr>
                <w:p>
                  <w:pPr>
                    <w:pStyle w:val="61"/>
                    <w:rPr>
                      <w:b/>
                      <w:bCs/>
                      <w:color w:val="000000"/>
                      <w:szCs w:val="21"/>
                    </w:rPr>
                  </w:pPr>
                  <w:r>
                    <w:rPr>
                      <w:b/>
                      <w:bCs/>
                      <w:color w:val="000000"/>
                      <w:szCs w:val="21"/>
                    </w:rPr>
                    <w:t>收集方式及去向</w:t>
                  </w:r>
                </w:p>
              </w:tc>
              <w:tc>
                <w:tcPr>
                  <w:tcW w:w="721" w:type="pct"/>
                  <w:vAlign w:val="center"/>
                </w:tcPr>
                <w:p>
                  <w:pPr>
                    <w:pStyle w:val="61"/>
                    <w:rPr>
                      <w:b/>
                      <w:bCs/>
                      <w:color w:val="000000"/>
                      <w:szCs w:val="21"/>
                    </w:rPr>
                  </w:pPr>
                  <w:r>
                    <w:rPr>
                      <w:b/>
                      <w:bCs/>
                      <w:color w:val="000000"/>
                      <w:szCs w:val="21"/>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54" w:type="pct"/>
                  <w:vMerge w:val="restart"/>
                  <w:vAlign w:val="center"/>
                </w:tcPr>
                <w:p>
                  <w:pPr>
                    <w:pStyle w:val="61"/>
                    <w:rPr>
                      <w:color w:val="000000"/>
                      <w:szCs w:val="21"/>
                    </w:rPr>
                  </w:pPr>
                  <w:r>
                    <w:rPr>
                      <w:color w:val="000000"/>
                      <w:szCs w:val="21"/>
                    </w:rPr>
                    <w:t>废气</w:t>
                  </w:r>
                </w:p>
              </w:tc>
              <w:tc>
                <w:tcPr>
                  <w:tcW w:w="500" w:type="pct"/>
                  <w:vAlign w:val="center"/>
                </w:tcPr>
                <w:p>
                  <w:pPr>
                    <w:pStyle w:val="61"/>
                    <w:rPr>
                      <w:color w:val="000000"/>
                      <w:szCs w:val="21"/>
                    </w:rPr>
                  </w:pPr>
                  <w:r>
                    <w:rPr>
                      <w:color w:val="000000"/>
                      <w:szCs w:val="21"/>
                    </w:rPr>
                    <w:t>G1</w:t>
                  </w:r>
                </w:p>
              </w:tc>
              <w:tc>
                <w:tcPr>
                  <w:tcW w:w="807" w:type="pct"/>
                  <w:vAlign w:val="center"/>
                </w:tcPr>
                <w:p>
                  <w:pPr>
                    <w:pStyle w:val="61"/>
                    <w:rPr>
                      <w:color w:val="000000"/>
                      <w:szCs w:val="21"/>
                    </w:rPr>
                  </w:pPr>
                  <w:r>
                    <w:rPr>
                      <w:rFonts w:hint="eastAsia"/>
                      <w:color w:val="000000"/>
                      <w:szCs w:val="21"/>
                    </w:rPr>
                    <w:t>清洗废气</w:t>
                  </w:r>
                </w:p>
              </w:tc>
              <w:tc>
                <w:tcPr>
                  <w:tcW w:w="643" w:type="pct"/>
                  <w:vAlign w:val="center"/>
                </w:tcPr>
                <w:p>
                  <w:pPr>
                    <w:pStyle w:val="61"/>
                    <w:rPr>
                      <w:color w:val="000000"/>
                      <w:szCs w:val="21"/>
                    </w:rPr>
                  </w:pPr>
                  <w:r>
                    <w:rPr>
                      <w:rStyle w:val="25"/>
                      <w:rFonts w:hint="eastAsia"/>
                      <w:color w:val="000000"/>
                      <w:kern w:val="0"/>
                      <w:szCs w:val="21"/>
                      <w:lang w:eastAsia="zh-CN"/>
                    </w:rPr>
                    <w:t>网版</w:t>
                  </w:r>
                  <w:r>
                    <w:rPr>
                      <w:rStyle w:val="25"/>
                      <w:rFonts w:hint="eastAsia"/>
                      <w:color w:val="000000"/>
                      <w:kern w:val="0"/>
                      <w:szCs w:val="21"/>
                    </w:rPr>
                    <w:t>清洗</w:t>
                  </w:r>
                </w:p>
              </w:tc>
              <w:tc>
                <w:tcPr>
                  <w:tcW w:w="986" w:type="pct"/>
                  <w:vAlign w:val="center"/>
                </w:tcPr>
                <w:p>
                  <w:pPr>
                    <w:pStyle w:val="61"/>
                    <w:rPr>
                      <w:color w:val="000000"/>
                      <w:szCs w:val="21"/>
                    </w:rPr>
                  </w:pPr>
                  <w:r>
                    <w:rPr>
                      <w:color w:val="000000"/>
                      <w:szCs w:val="21"/>
                    </w:rPr>
                    <w:t>非甲烷总烃</w:t>
                  </w:r>
                </w:p>
              </w:tc>
              <w:tc>
                <w:tcPr>
                  <w:tcW w:w="885" w:type="pct"/>
                  <w:vAlign w:val="center"/>
                </w:tcPr>
                <w:p>
                  <w:pPr>
                    <w:pStyle w:val="61"/>
                    <w:rPr>
                      <w:color w:val="000000"/>
                      <w:szCs w:val="21"/>
                    </w:rPr>
                  </w:pPr>
                  <w:r>
                    <w:rPr>
                      <w:rFonts w:hint="eastAsia"/>
                      <w:color w:val="000000"/>
                      <w:szCs w:val="21"/>
                    </w:rPr>
                    <w:t>集气罩收集</w:t>
                  </w:r>
                </w:p>
              </w:tc>
              <w:tc>
                <w:tcPr>
                  <w:tcW w:w="721" w:type="pct"/>
                  <w:vMerge w:val="restart"/>
                  <w:vAlign w:val="center"/>
                </w:tcPr>
                <w:p>
                  <w:pPr>
                    <w:pStyle w:val="61"/>
                    <w:rPr>
                      <w:color w:val="000000"/>
                      <w:szCs w:val="21"/>
                    </w:rPr>
                  </w:pPr>
                  <w:r>
                    <w:rPr>
                      <w:color w:val="000000"/>
                      <w:szCs w:val="21"/>
                    </w:rPr>
                    <w:t>二级活性炭装置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5"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color w:val="000000"/>
                      <w:szCs w:val="21"/>
                    </w:rPr>
                    <w:t>G2</w:t>
                  </w:r>
                </w:p>
              </w:tc>
              <w:tc>
                <w:tcPr>
                  <w:tcW w:w="807" w:type="pct"/>
                  <w:vAlign w:val="center"/>
                </w:tcPr>
                <w:p>
                  <w:pPr>
                    <w:pStyle w:val="61"/>
                    <w:rPr>
                      <w:color w:val="000000"/>
                      <w:szCs w:val="21"/>
                    </w:rPr>
                  </w:pPr>
                  <w:r>
                    <w:rPr>
                      <w:color w:val="000000"/>
                      <w:szCs w:val="21"/>
                    </w:rPr>
                    <w:t>回流焊废气</w:t>
                  </w:r>
                </w:p>
              </w:tc>
              <w:tc>
                <w:tcPr>
                  <w:tcW w:w="643" w:type="pct"/>
                  <w:vAlign w:val="center"/>
                </w:tcPr>
                <w:p>
                  <w:pPr>
                    <w:pStyle w:val="61"/>
                    <w:rPr>
                      <w:color w:val="000000"/>
                      <w:szCs w:val="21"/>
                    </w:rPr>
                  </w:pPr>
                  <w:r>
                    <w:rPr>
                      <w:color w:val="000000"/>
                      <w:szCs w:val="21"/>
                    </w:rPr>
                    <w:t>回流焊</w:t>
                  </w:r>
                </w:p>
              </w:tc>
              <w:tc>
                <w:tcPr>
                  <w:tcW w:w="986" w:type="pct"/>
                  <w:vAlign w:val="center"/>
                </w:tcPr>
                <w:p>
                  <w:pPr>
                    <w:pStyle w:val="61"/>
                    <w:rPr>
                      <w:color w:val="000000"/>
                      <w:szCs w:val="21"/>
                    </w:rPr>
                  </w:pPr>
                  <w:r>
                    <w:rPr>
                      <w:color w:val="000000"/>
                      <w:szCs w:val="21"/>
                    </w:rPr>
                    <w:t>非甲烷总烃</w:t>
                  </w:r>
                </w:p>
              </w:tc>
              <w:tc>
                <w:tcPr>
                  <w:tcW w:w="885" w:type="pct"/>
                  <w:vAlign w:val="center"/>
                </w:tcPr>
                <w:p>
                  <w:pPr>
                    <w:jc w:val="center"/>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color w:val="000000"/>
                      <w:szCs w:val="21"/>
                    </w:rPr>
                    <w:t>G3</w:t>
                  </w:r>
                </w:p>
              </w:tc>
              <w:tc>
                <w:tcPr>
                  <w:tcW w:w="807" w:type="pct"/>
                  <w:vAlign w:val="center"/>
                </w:tcPr>
                <w:p>
                  <w:pPr>
                    <w:pStyle w:val="61"/>
                    <w:rPr>
                      <w:color w:val="000000"/>
                      <w:szCs w:val="21"/>
                    </w:rPr>
                  </w:pPr>
                  <w:r>
                    <w:rPr>
                      <w:rFonts w:hint="eastAsia"/>
                      <w:color w:val="000000"/>
                      <w:szCs w:val="21"/>
                    </w:rPr>
                    <w:t>补焊废气</w:t>
                  </w:r>
                </w:p>
              </w:tc>
              <w:tc>
                <w:tcPr>
                  <w:tcW w:w="643" w:type="pct"/>
                  <w:vAlign w:val="center"/>
                </w:tcPr>
                <w:p>
                  <w:pPr>
                    <w:pStyle w:val="61"/>
                    <w:rPr>
                      <w:color w:val="000000"/>
                      <w:szCs w:val="21"/>
                    </w:rPr>
                  </w:pPr>
                  <w:r>
                    <w:rPr>
                      <w:rFonts w:hint="eastAsia"/>
                      <w:color w:val="000000"/>
                      <w:szCs w:val="21"/>
                    </w:rPr>
                    <w:t>补焊</w:t>
                  </w:r>
                </w:p>
              </w:tc>
              <w:tc>
                <w:tcPr>
                  <w:tcW w:w="986" w:type="pct"/>
                  <w:vAlign w:val="center"/>
                </w:tcPr>
                <w:p>
                  <w:pPr>
                    <w:pStyle w:val="61"/>
                    <w:rPr>
                      <w:color w:val="000000"/>
                      <w:szCs w:val="21"/>
                    </w:rPr>
                  </w:pPr>
                  <w:r>
                    <w:rPr>
                      <w:color w:val="000000"/>
                      <w:szCs w:val="21"/>
                    </w:rPr>
                    <w:t>非甲烷总烃</w:t>
                  </w:r>
                </w:p>
              </w:tc>
              <w:tc>
                <w:tcPr>
                  <w:tcW w:w="885" w:type="pct"/>
                  <w:vAlign w:val="center"/>
                </w:tcPr>
                <w:p>
                  <w:pPr>
                    <w:jc w:val="center"/>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1"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color w:val="000000"/>
                      <w:szCs w:val="21"/>
                    </w:rPr>
                    <w:t>G</w:t>
                  </w:r>
                  <w:r>
                    <w:rPr>
                      <w:rFonts w:hint="eastAsia"/>
                      <w:color w:val="000000"/>
                      <w:szCs w:val="21"/>
                    </w:rPr>
                    <w:t>4</w:t>
                  </w:r>
                </w:p>
              </w:tc>
              <w:tc>
                <w:tcPr>
                  <w:tcW w:w="807" w:type="pct"/>
                  <w:vAlign w:val="center"/>
                </w:tcPr>
                <w:p>
                  <w:pPr>
                    <w:pStyle w:val="61"/>
                    <w:rPr>
                      <w:color w:val="000000"/>
                      <w:szCs w:val="21"/>
                    </w:rPr>
                  </w:pPr>
                  <w:r>
                    <w:rPr>
                      <w:rFonts w:hint="eastAsia"/>
                      <w:color w:val="000000"/>
                      <w:szCs w:val="21"/>
                    </w:rPr>
                    <w:t>波峰焊废气</w:t>
                  </w:r>
                </w:p>
              </w:tc>
              <w:tc>
                <w:tcPr>
                  <w:tcW w:w="643" w:type="pct"/>
                  <w:vAlign w:val="center"/>
                </w:tcPr>
                <w:p>
                  <w:pPr>
                    <w:pStyle w:val="61"/>
                    <w:rPr>
                      <w:color w:val="000000"/>
                      <w:szCs w:val="21"/>
                    </w:rPr>
                  </w:pPr>
                  <w:r>
                    <w:rPr>
                      <w:rFonts w:hint="eastAsia"/>
                      <w:color w:val="000000"/>
                      <w:szCs w:val="21"/>
                    </w:rPr>
                    <w:t>波峰焊</w:t>
                  </w:r>
                </w:p>
              </w:tc>
              <w:tc>
                <w:tcPr>
                  <w:tcW w:w="986" w:type="pct"/>
                  <w:vAlign w:val="center"/>
                </w:tcPr>
                <w:p>
                  <w:pPr>
                    <w:pStyle w:val="61"/>
                    <w:rPr>
                      <w:color w:val="000000"/>
                      <w:szCs w:val="21"/>
                    </w:rPr>
                  </w:pPr>
                  <w:r>
                    <w:rPr>
                      <w:color w:val="000000"/>
                      <w:szCs w:val="21"/>
                    </w:rPr>
                    <w:t>非甲烷总烃</w:t>
                  </w:r>
                </w:p>
              </w:tc>
              <w:tc>
                <w:tcPr>
                  <w:tcW w:w="885" w:type="pct"/>
                  <w:vAlign w:val="center"/>
                </w:tcPr>
                <w:p>
                  <w:pPr>
                    <w:jc w:val="center"/>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rFonts w:hint="eastAsia"/>
                      <w:color w:val="000000"/>
                      <w:szCs w:val="21"/>
                    </w:rPr>
                    <w:t>G5</w:t>
                  </w:r>
                </w:p>
              </w:tc>
              <w:tc>
                <w:tcPr>
                  <w:tcW w:w="807" w:type="pct"/>
                  <w:vAlign w:val="center"/>
                </w:tcPr>
                <w:p>
                  <w:pPr>
                    <w:pStyle w:val="61"/>
                    <w:rPr>
                      <w:color w:val="000000"/>
                      <w:szCs w:val="21"/>
                    </w:rPr>
                  </w:pPr>
                  <w:r>
                    <w:rPr>
                      <w:rFonts w:hint="eastAsia"/>
                      <w:color w:val="000000"/>
                      <w:szCs w:val="21"/>
                    </w:rPr>
                    <w:t>补焊废气</w:t>
                  </w:r>
                </w:p>
              </w:tc>
              <w:tc>
                <w:tcPr>
                  <w:tcW w:w="643" w:type="pct"/>
                  <w:vAlign w:val="center"/>
                </w:tcPr>
                <w:p>
                  <w:pPr>
                    <w:pStyle w:val="61"/>
                    <w:rPr>
                      <w:color w:val="000000"/>
                      <w:szCs w:val="21"/>
                    </w:rPr>
                  </w:pPr>
                  <w:r>
                    <w:rPr>
                      <w:rFonts w:hint="eastAsia"/>
                      <w:color w:val="000000"/>
                      <w:szCs w:val="21"/>
                    </w:rPr>
                    <w:t>补焊</w:t>
                  </w:r>
                </w:p>
              </w:tc>
              <w:tc>
                <w:tcPr>
                  <w:tcW w:w="986" w:type="pct"/>
                  <w:vAlign w:val="center"/>
                </w:tcPr>
                <w:p>
                  <w:pPr>
                    <w:pStyle w:val="61"/>
                    <w:rPr>
                      <w:color w:val="000000"/>
                      <w:szCs w:val="21"/>
                    </w:rPr>
                  </w:pPr>
                  <w:r>
                    <w:rPr>
                      <w:color w:val="000000"/>
                      <w:szCs w:val="21"/>
                    </w:rPr>
                    <w:t>非甲烷总烃</w:t>
                  </w:r>
                </w:p>
              </w:tc>
              <w:tc>
                <w:tcPr>
                  <w:tcW w:w="885" w:type="pct"/>
                  <w:vAlign w:val="center"/>
                </w:tcPr>
                <w:p>
                  <w:pPr>
                    <w:jc w:val="center"/>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1"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rFonts w:hint="eastAsia"/>
                      <w:color w:val="000000"/>
                      <w:szCs w:val="21"/>
                    </w:rPr>
                    <w:t>G6</w:t>
                  </w:r>
                </w:p>
              </w:tc>
              <w:tc>
                <w:tcPr>
                  <w:tcW w:w="807" w:type="pct"/>
                  <w:vAlign w:val="center"/>
                </w:tcPr>
                <w:p>
                  <w:pPr>
                    <w:pStyle w:val="61"/>
                    <w:rPr>
                      <w:color w:val="000000"/>
                      <w:szCs w:val="21"/>
                    </w:rPr>
                  </w:pPr>
                  <w:r>
                    <w:rPr>
                      <w:rFonts w:hint="eastAsia"/>
                      <w:color w:val="000000"/>
                      <w:szCs w:val="21"/>
                    </w:rPr>
                    <w:t>涂覆废气</w:t>
                  </w:r>
                </w:p>
              </w:tc>
              <w:tc>
                <w:tcPr>
                  <w:tcW w:w="643" w:type="pct"/>
                  <w:vAlign w:val="center"/>
                </w:tcPr>
                <w:p>
                  <w:pPr>
                    <w:pStyle w:val="61"/>
                    <w:rPr>
                      <w:color w:val="000000"/>
                      <w:szCs w:val="21"/>
                    </w:rPr>
                  </w:pPr>
                  <w:r>
                    <w:rPr>
                      <w:rFonts w:hint="eastAsia"/>
                      <w:color w:val="000000"/>
                      <w:szCs w:val="21"/>
                    </w:rPr>
                    <w:t>涂覆</w:t>
                  </w:r>
                </w:p>
              </w:tc>
              <w:tc>
                <w:tcPr>
                  <w:tcW w:w="986" w:type="pct"/>
                  <w:vAlign w:val="center"/>
                </w:tcPr>
                <w:p>
                  <w:pPr>
                    <w:pStyle w:val="61"/>
                    <w:rPr>
                      <w:color w:val="000000"/>
                      <w:szCs w:val="21"/>
                    </w:rPr>
                  </w:pPr>
                  <w:r>
                    <w:rPr>
                      <w:rFonts w:hint="eastAsia"/>
                      <w:color w:val="000000"/>
                      <w:szCs w:val="21"/>
                    </w:rPr>
                    <w:t>非甲烷总烃</w:t>
                  </w:r>
                </w:p>
              </w:tc>
              <w:tc>
                <w:tcPr>
                  <w:tcW w:w="885" w:type="pct"/>
                  <w:vAlign w:val="center"/>
                </w:tcPr>
                <w:p>
                  <w:pPr>
                    <w:jc w:val="center"/>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rFonts w:hint="eastAsia"/>
                      <w:color w:val="000000"/>
                      <w:szCs w:val="21"/>
                    </w:rPr>
                    <w:t>G7</w:t>
                  </w:r>
                </w:p>
              </w:tc>
              <w:tc>
                <w:tcPr>
                  <w:tcW w:w="807" w:type="pct"/>
                  <w:vAlign w:val="center"/>
                </w:tcPr>
                <w:p>
                  <w:pPr>
                    <w:pStyle w:val="61"/>
                    <w:rPr>
                      <w:color w:val="000000"/>
                      <w:szCs w:val="21"/>
                    </w:rPr>
                  </w:pPr>
                  <w:r>
                    <w:rPr>
                      <w:rFonts w:hint="eastAsia"/>
                      <w:color w:val="000000"/>
                      <w:szCs w:val="21"/>
                    </w:rPr>
                    <w:t>固化废气</w:t>
                  </w:r>
                </w:p>
              </w:tc>
              <w:tc>
                <w:tcPr>
                  <w:tcW w:w="643" w:type="pct"/>
                  <w:vAlign w:val="center"/>
                </w:tcPr>
                <w:p>
                  <w:pPr>
                    <w:pStyle w:val="61"/>
                    <w:rPr>
                      <w:color w:val="000000"/>
                      <w:szCs w:val="21"/>
                    </w:rPr>
                  </w:pPr>
                  <w:r>
                    <w:rPr>
                      <w:rFonts w:hint="eastAsia"/>
                      <w:color w:val="000000"/>
                      <w:szCs w:val="21"/>
                    </w:rPr>
                    <w:t>固化</w:t>
                  </w:r>
                </w:p>
              </w:tc>
              <w:tc>
                <w:tcPr>
                  <w:tcW w:w="986" w:type="pct"/>
                  <w:vAlign w:val="center"/>
                </w:tcPr>
                <w:p>
                  <w:pPr>
                    <w:pStyle w:val="61"/>
                    <w:rPr>
                      <w:color w:val="000000"/>
                      <w:szCs w:val="21"/>
                    </w:rPr>
                  </w:pPr>
                  <w:r>
                    <w:rPr>
                      <w:rFonts w:hint="eastAsia"/>
                      <w:color w:val="000000"/>
                      <w:szCs w:val="21"/>
                    </w:rPr>
                    <w:t>非甲烷总烃</w:t>
                  </w:r>
                </w:p>
              </w:tc>
              <w:tc>
                <w:tcPr>
                  <w:tcW w:w="885" w:type="pct"/>
                  <w:vAlign w:val="center"/>
                </w:tcPr>
                <w:p>
                  <w:pPr>
                    <w:jc w:val="center"/>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1"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rFonts w:hint="eastAsia"/>
                      <w:color w:val="000000"/>
                      <w:szCs w:val="21"/>
                    </w:rPr>
                    <w:t>G8</w:t>
                  </w:r>
                </w:p>
              </w:tc>
              <w:tc>
                <w:tcPr>
                  <w:tcW w:w="807" w:type="pct"/>
                  <w:vAlign w:val="center"/>
                </w:tcPr>
                <w:p>
                  <w:pPr>
                    <w:pStyle w:val="61"/>
                    <w:rPr>
                      <w:color w:val="000000"/>
                      <w:szCs w:val="21"/>
                    </w:rPr>
                  </w:pPr>
                  <w:r>
                    <w:rPr>
                      <w:rFonts w:hint="eastAsia"/>
                      <w:color w:val="000000"/>
                      <w:szCs w:val="21"/>
                    </w:rPr>
                    <w:t>点胶废气</w:t>
                  </w:r>
                </w:p>
              </w:tc>
              <w:tc>
                <w:tcPr>
                  <w:tcW w:w="643" w:type="pct"/>
                  <w:vAlign w:val="center"/>
                </w:tcPr>
                <w:p>
                  <w:pPr>
                    <w:pStyle w:val="61"/>
                    <w:rPr>
                      <w:color w:val="000000"/>
                      <w:szCs w:val="21"/>
                    </w:rPr>
                  </w:pPr>
                  <w:r>
                    <w:rPr>
                      <w:rFonts w:hint="eastAsia"/>
                      <w:color w:val="000000"/>
                      <w:szCs w:val="21"/>
                    </w:rPr>
                    <w:t>点胶</w:t>
                  </w:r>
                </w:p>
              </w:tc>
              <w:tc>
                <w:tcPr>
                  <w:tcW w:w="986" w:type="pct"/>
                  <w:vAlign w:val="center"/>
                </w:tcPr>
                <w:p>
                  <w:pPr>
                    <w:pStyle w:val="61"/>
                    <w:rPr>
                      <w:color w:val="000000"/>
                      <w:szCs w:val="21"/>
                    </w:rPr>
                  </w:pPr>
                  <w:r>
                    <w:rPr>
                      <w:rFonts w:hint="eastAsia"/>
                      <w:color w:val="000000"/>
                      <w:szCs w:val="21"/>
                    </w:rPr>
                    <w:t>非甲烷总烃</w:t>
                  </w:r>
                </w:p>
              </w:tc>
              <w:tc>
                <w:tcPr>
                  <w:tcW w:w="885" w:type="pct"/>
                  <w:vAlign w:val="center"/>
                </w:tcPr>
                <w:p>
                  <w:pPr>
                    <w:jc w:val="center"/>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rFonts w:hint="eastAsia"/>
                      <w:color w:val="000000"/>
                      <w:szCs w:val="21"/>
                    </w:rPr>
                    <w:t>G9</w:t>
                  </w:r>
                </w:p>
              </w:tc>
              <w:tc>
                <w:tcPr>
                  <w:tcW w:w="807" w:type="pct"/>
                  <w:vAlign w:val="center"/>
                </w:tcPr>
                <w:p>
                  <w:pPr>
                    <w:pStyle w:val="61"/>
                    <w:rPr>
                      <w:color w:val="000000"/>
                      <w:szCs w:val="21"/>
                    </w:rPr>
                  </w:pPr>
                  <w:r>
                    <w:rPr>
                      <w:rFonts w:hint="eastAsia"/>
                      <w:color w:val="000000"/>
                      <w:szCs w:val="21"/>
                    </w:rPr>
                    <w:t>清除涂覆废气</w:t>
                  </w:r>
                </w:p>
              </w:tc>
              <w:tc>
                <w:tcPr>
                  <w:tcW w:w="643" w:type="pct"/>
                  <w:vAlign w:val="center"/>
                </w:tcPr>
                <w:p>
                  <w:pPr>
                    <w:pStyle w:val="61"/>
                    <w:rPr>
                      <w:color w:val="000000"/>
                      <w:szCs w:val="21"/>
                    </w:rPr>
                  </w:pPr>
                  <w:r>
                    <w:rPr>
                      <w:rFonts w:hint="eastAsia"/>
                      <w:color w:val="000000"/>
                      <w:szCs w:val="21"/>
                    </w:rPr>
                    <w:t>清除涂覆</w:t>
                  </w:r>
                </w:p>
              </w:tc>
              <w:tc>
                <w:tcPr>
                  <w:tcW w:w="986" w:type="pct"/>
                  <w:vAlign w:val="center"/>
                </w:tcPr>
                <w:p>
                  <w:pPr>
                    <w:pStyle w:val="61"/>
                    <w:rPr>
                      <w:color w:val="000000"/>
                      <w:szCs w:val="21"/>
                    </w:rPr>
                  </w:pPr>
                  <w:r>
                    <w:rPr>
                      <w:rFonts w:hint="eastAsia"/>
                      <w:color w:val="000000"/>
                      <w:szCs w:val="21"/>
                    </w:rPr>
                    <w:t>非甲烷总烃</w:t>
                  </w:r>
                </w:p>
              </w:tc>
              <w:tc>
                <w:tcPr>
                  <w:tcW w:w="885" w:type="pct"/>
                  <w:vAlign w:val="center"/>
                </w:tcPr>
                <w:p>
                  <w:pPr>
                    <w:pStyle w:val="61"/>
                    <w:rPr>
                      <w:color w:val="000000"/>
                      <w:szCs w:val="21"/>
                    </w:rPr>
                  </w:pPr>
                  <w:r>
                    <w:rPr>
                      <w:rFonts w:hint="eastAsia"/>
                      <w:color w:val="000000"/>
                      <w:szCs w:val="21"/>
                    </w:rPr>
                    <w:t>集气罩</w:t>
                  </w: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454" w:type="pct"/>
                  <w:vMerge w:val="restart"/>
                  <w:vAlign w:val="center"/>
                </w:tcPr>
                <w:p>
                  <w:pPr>
                    <w:pStyle w:val="61"/>
                    <w:rPr>
                      <w:color w:val="000000"/>
                      <w:szCs w:val="21"/>
                    </w:rPr>
                  </w:pPr>
                  <w:r>
                    <w:rPr>
                      <w:color w:val="000000"/>
                      <w:szCs w:val="21"/>
                    </w:rPr>
                    <w:t>固废</w:t>
                  </w:r>
                </w:p>
              </w:tc>
              <w:tc>
                <w:tcPr>
                  <w:tcW w:w="500" w:type="pct"/>
                  <w:vAlign w:val="center"/>
                </w:tcPr>
                <w:p>
                  <w:pPr>
                    <w:pStyle w:val="61"/>
                    <w:rPr>
                      <w:color w:val="000000"/>
                      <w:szCs w:val="21"/>
                    </w:rPr>
                  </w:pPr>
                  <w:r>
                    <w:rPr>
                      <w:color w:val="000000"/>
                      <w:szCs w:val="21"/>
                    </w:rPr>
                    <w:t>S1</w:t>
                  </w:r>
                </w:p>
              </w:tc>
              <w:tc>
                <w:tcPr>
                  <w:tcW w:w="807" w:type="pct"/>
                  <w:vAlign w:val="center"/>
                </w:tcPr>
                <w:p>
                  <w:pPr>
                    <w:pStyle w:val="61"/>
                    <w:rPr>
                      <w:color w:val="000000"/>
                      <w:szCs w:val="21"/>
                    </w:rPr>
                  </w:pPr>
                  <w:r>
                    <w:rPr>
                      <w:rFonts w:hint="eastAsia"/>
                      <w:color w:val="000000"/>
                      <w:szCs w:val="21"/>
                    </w:rPr>
                    <w:t>清洗废液</w:t>
                  </w:r>
                </w:p>
              </w:tc>
              <w:tc>
                <w:tcPr>
                  <w:tcW w:w="643" w:type="pct"/>
                  <w:vAlign w:val="center"/>
                </w:tcPr>
                <w:p>
                  <w:pPr>
                    <w:pStyle w:val="61"/>
                    <w:rPr>
                      <w:color w:val="000000"/>
                      <w:szCs w:val="21"/>
                    </w:rPr>
                  </w:pPr>
                  <w:r>
                    <w:rPr>
                      <w:rFonts w:hint="eastAsia"/>
                      <w:color w:val="000000"/>
                      <w:szCs w:val="21"/>
                      <w:lang w:eastAsia="zh-CN"/>
                    </w:rPr>
                    <w:t>网版</w:t>
                  </w:r>
                  <w:r>
                    <w:rPr>
                      <w:rFonts w:hint="eastAsia"/>
                      <w:color w:val="000000"/>
                      <w:szCs w:val="21"/>
                    </w:rPr>
                    <w:t>清洗</w:t>
                  </w:r>
                </w:p>
              </w:tc>
              <w:tc>
                <w:tcPr>
                  <w:tcW w:w="986" w:type="pct"/>
                  <w:vAlign w:val="center"/>
                </w:tcPr>
                <w:p>
                  <w:pPr>
                    <w:pStyle w:val="61"/>
                    <w:rPr>
                      <w:color w:val="000000"/>
                      <w:szCs w:val="21"/>
                    </w:rPr>
                  </w:pPr>
                  <w:r>
                    <w:rPr>
                      <w:rFonts w:hint="eastAsia"/>
                      <w:color w:val="000000"/>
                      <w:szCs w:val="21"/>
                    </w:rPr>
                    <w:t>废清洗剂</w:t>
                  </w:r>
                </w:p>
              </w:tc>
              <w:tc>
                <w:tcPr>
                  <w:tcW w:w="885" w:type="pct"/>
                  <w:vAlign w:val="center"/>
                </w:tcPr>
                <w:p>
                  <w:pPr>
                    <w:pStyle w:val="61"/>
                    <w:rPr>
                      <w:color w:val="000000"/>
                      <w:szCs w:val="21"/>
                    </w:rPr>
                  </w:pPr>
                  <w:r>
                    <w:rPr>
                      <w:color w:val="000000"/>
                      <w:szCs w:val="21"/>
                    </w:rPr>
                    <w:t>收集</w:t>
                  </w:r>
                </w:p>
              </w:tc>
              <w:tc>
                <w:tcPr>
                  <w:tcW w:w="721" w:type="pct"/>
                  <w:vMerge w:val="restart"/>
                  <w:vAlign w:val="center"/>
                </w:tcPr>
                <w:p>
                  <w:pPr>
                    <w:pStyle w:val="61"/>
                    <w:rPr>
                      <w:color w:val="000000"/>
                      <w:szCs w:val="21"/>
                    </w:rPr>
                  </w:pPr>
                  <w:r>
                    <w:rPr>
                      <w:bCs/>
                      <w:color w:val="000000"/>
                      <w:spacing w:val="-4"/>
                      <w:szCs w:val="21"/>
                    </w:rPr>
                    <w:t>委托有资质单位处置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0"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color w:val="000000"/>
                      <w:szCs w:val="21"/>
                    </w:rPr>
                    <w:t>S2</w:t>
                  </w:r>
                </w:p>
              </w:tc>
              <w:tc>
                <w:tcPr>
                  <w:tcW w:w="807" w:type="pct"/>
                  <w:vAlign w:val="center"/>
                </w:tcPr>
                <w:p>
                  <w:pPr>
                    <w:pStyle w:val="61"/>
                    <w:rPr>
                      <w:color w:val="000000"/>
                      <w:szCs w:val="21"/>
                    </w:rPr>
                  </w:pPr>
                  <w:r>
                    <w:rPr>
                      <w:color w:val="000000"/>
                      <w:szCs w:val="21"/>
                    </w:rPr>
                    <w:t>废锡膏</w:t>
                  </w:r>
                </w:p>
              </w:tc>
              <w:tc>
                <w:tcPr>
                  <w:tcW w:w="643" w:type="pct"/>
                  <w:vAlign w:val="center"/>
                </w:tcPr>
                <w:p>
                  <w:pPr>
                    <w:pStyle w:val="61"/>
                    <w:rPr>
                      <w:color w:val="000000"/>
                      <w:szCs w:val="21"/>
                    </w:rPr>
                  </w:pPr>
                  <w:r>
                    <w:rPr>
                      <w:color w:val="000000"/>
                      <w:szCs w:val="21"/>
                    </w:rPr>
                    <w:t>锡膏印刷</w:t>
                  </w:r>
                </w:p>
              </w:tc>
              <w:tc>
                <w:tcPr>
                  <w:tcW w:w="986" w:type="pct"/>
                  <w:vAlign w:val="center"/>
                </w:tcPr>
                <w:p>
                  <w:pPr>
                    <w:pStyle w:val="61"/>
                    <w:rPr>
                      <w:color w:val="000000"/>
                      <w:szCs w:val="21"/>
                    </w:rPr>
                  </w:pPr>
                  <w:r>
                    <w:rPr>
                      <w:color w:val="000000"/>
                      <w:szCs w:val="21"/>
                    </w:rPr>
                    <w:t>废锡膏</w:t>
                  </w:r>
                </w:p>
              </w:tc>
              <w:tc>
                <w:tcPr>
                  <w:tcW w:w="885" w:type="pct"/>
                  <w:vAlign w:val="center"/>
                </w:tcPr>
                <w:p>
                  <w:pPr>
                    <w:pStyle w:val="61"/>
                    <w:rPr>
                      <w:color w:val="000000"/>
                      <w:szCs w:val="21"/>
                    </w:rPr>
                  </w:pPr>
                  <w:r>
                    <w:rPr>
                      <w:color w:val="000000"/>
                      <w:szCs w:val="21"/>
                    </w:rPr>
                    <w:t>收集</w:t>
                  </w:r>
                </w:p>
              </w:tc>
              <w:tc>
                <w:tcPr>
                  <w:tcW w:w="721" w:type="pct"/>
                  <w:vMerge w:val="continue"/>
                  <w:vAlign w:val="center"/>
                </w:tcPr>
                <w:p>
                  <w:pPr>
                    <w:pStyle w:val="61"/>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6" w:hRule="atLeast"/>
                <w:jc w:val="center"/>
              </w:trPr>
              <w:tc>
                <w:tcPr>
                  <w:tcW w:w="454" w:type="pct"/>
                  <w:vMerge w:val="continue"/>
                  <w:vAlign w:val="center"/>
                </w:tcPr>
                <w:p>
                  <w:pPr>
                    <w:pStyle w:val="61"/>
                    <w:rPr>
                      <w:color w:val="000000"/>
                      <w:szCs w:val="21"/>
                    </w:rPr>
                  </w:pPr>
                </w:p>
              </w:tc>
              <w:tc>
                <w:tcPr>
                  <w:tcW w:w="500" w:type="pct"/>
                  <w:vAlign w:val="center"/>
                </w:tcPr>
                <w:p>
                  <w:pPr>
                    <w:pStyle w:val="61"/>
                    <w:rPr>
                      <w:color w:val="000000"/>
                      <w:szCs w:val="21"/>
                    </w:rPr>
                  </w:pPr>
                  <w:r>
                    <w:rPr>
                      <w:color w:val="000000"/>
                      <w:szCs w:val="21"/>
                    </w:rPr>
                    <w:t>S3</w:t>
                  </w:r>
                </w:p>
              </w:tc>
              <w:tc>
                <w:tcPr>
                  <w:tcW w:w="807" w:type="pct"/>
                  <w:vAlign w:val="center"/>
                </w:tcPr>
                <w:p>
                  <w:pPr>
                    <w:pStyle w:val="61"/>
                    <w:rPr>
                      <w:color w:val="000000"/>
                      <w:szCs w:val="21"/>
                    </w:rPr>
                  </w:pPr>
                  <w:r>
                    <w:rPr>
                      <w:rFonts w:hint="eastAsia"/>
                      <w:color w:val="000000"/>
                      <w:szCs w:val="21"/>
                    </w:rPr>
                    <w:t>废擦拭纸</w:t>
                  </w:r>
                </w:p>
              </w:tc>
              <w:tc>
                <w:tcPr>
                  <w:tcW w:w="643" w:type="pct"/>
                  <w:vAlign w:val="center"/>
                </w:tcPr>
                <w:p>
                  <w:pPr>
                    <w:pStyle w:val="61"/>
                    <w:rPr>
                      <w:color w:val="000000"/>
                      <w:szCs w:val="21"/>
                    </w:rPr>
                  </w:pPr>
                  <w:r>
                    <w:rPr>
                      <w:rFonts w:hint="eastAsia"/>
                      <w:color w:val="000000"/>
                      <w:szCs w:val="21"/>
                    </w:rPr>
                    <w:t>清除涂覆</w:t>
                  </w:r>
                </w:p>
              </w:tc>
              <w:tc>
                <w:tcPr>
                  <w:tcW w:w="986" w:type="pct"/>
                  <w:vAlign w:val="center"/>
                </w:tcPr>
                <w:p>
                  <w:pPr>
                    <w:pStyle w:val="61"/>
                    <w:rPr>
                      <w:color w:val="000000"/>
                      <w:szCs w:val="21"/>
                    </w:rPr>
                  </w:pPr>
                  <w:r>
                    <w:rPr>
                      <w:rFonts w:hint="eastAsia"/>
                      <w:color w:val="000000"/>
                      <w:szCs w:val="21"/>
                    </w:rPr>
                    <w:t>三防胶</w:t>
                  </w:r>
                </w:p>
              </w:tc>
              <w:tc>
                <w:tcPr>
                  <w:tcW w:w="885" w:type="pct"/>
                  <w:vAlign w:val="center"/>
                </w:tcPr>
                <w:p>
                  <w:pPr>
                    <w:pStyle w:val="61"/>
                    <w:rPr>
                      <w:color w:val="000000"/>
                      <w:szCs w:val="21"/>
                    </w:rPr>
                  </w:pPr>
                  <w:r>
                    <w:rPr>
                      <w:color w:val="000000"/>
                      <w:szCs w:val="21"/>
                    </w:rPr>
                    <w:t>收集</w:t>
                  </w:r>
                </w:p>
              </w:tc>
              <w:tc>
                <w:tcPr>
                  <w:tcW w:w="721" w:type="pct"/>
                  <w:vMerge w:val="continue"/>
                  <w:vAlign w:val="center"/>
                </w:tcPr>
                <w:p>
                  <w:pPr>
                    <w:pStyle w:val="61"/>
                    <w:rPr>
                      <w:color w:val="000000"/>
                      <w:szCs w:val="21"/>
                    </w:rPr>
                  </w:pPr>
                </w:p>
              </w:tc>
            </w:tr>
          </w:tbl>
          <w:p>
            <w:pPr>
              <w:tabs>
                <w:tab w:val="left" w:pos="0"/>
              </w:tabs>
              <w:spacing w:line="360" w:lineRule="auto"/>
              <w:jc w:val="left"/>
              <w:rPr>
                <w:bCs/>
                <w:color w:val="000000"/>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823" w:type="dxa"/>
            <w:vAlign w:val="center"/>
          </w:tcPr>
          <w:p>
            <w:pPr>
              <w:pStyle w:val="17"/>
              <w:adjustRightInd w:val="0"/>
              <w:snapToGrid w:val="0"/>
              <w:spacing w:before="0" w:beforeAutospacing="0" w:after="0" w:afterAutospacing="0"/>
              <w:jc w:val="center"/>
              <w:rPr>
                <w:rFonts w:ascii="Times New Roman" w:hAnsi="Times New Roman"/>
                <w:color w:val="000000"/>
                <w:sz w:val="21"/>
                <w:szCs w:val="21"/>
                <w:highlight w:val="yellow"/>
              </w:rPr>
            </w:pPr>
            <w:r>
              <w:rPr>
                <w:rFonts w:ascii="Times New Roman" w:hAnsi="Times New Roman"/>
                <w:bCs/>
                <w:color w:val="000000"/>
                <w:kern w:val="2"/>
                <w:szCs w:val="24"/>
              </w:rPr>
              <w:t>与项目有关的原有环境污染问题</w:t>
            </w:r>
          </w:p>
        </w:tc>
        <w:tc>
          <w:tcPr>
            <w:tcW w:w="8710" w:type="dxa"/>
          </w:tcPr>
          <w:p>
            <w:pPr>
              <w:tabs>
                <w:tab w:val="left" w:pos="0"/>
              </w:tabs>
              <w:spacing w:line="360" w:lineRule="auto"/>
              <w:rPr>
                <w:b/>
                <w:bCs/>
                <w:color w:val="000000"/>
                <w:sz w:val="24"/>
              </w:rPr>
            </w:pPr>
            <w:r>
              <w:rPr>
                <w:b/>
                <w:bCs/>
                <w:color w:val="000000"/>
                <w:sz w:val="24"/>
              </w:rPr>
              <w:t>2.11与本项目有关的原有污染情况及主要环境问题：</w:t>
            </w:r>
          </w:p>
          <w:p>
            <w:pPr>
              <w:spacing w:line="360" w:lineRule="auto"/>
              <w:ind w:firstLine="480" w:firstLineChars="200"/>
              <w:rPr>
                <w:bCs/>
                <w:color w:val="000000"/>
                <w:sz w:val="24"/>
              </w:rPr>
            </w:pPr>
            <w:r>
              <w:rPr>
                <w:bCs/>
                <w:color w:val="000000"/>
                <w:sz w:val="24"/>
              </w:rPr>
              <w:t>本项目为新建项目，</w:t>
            </w:r>
            <w:r>
              <w:rPr>
                <w:rFonts w:hint="eastAsia"/>
                <w:bCs/>
                <w:color w:val="000000"/>
                <w:sz w:val="24"/>
              </w:rPr>
              <w:t>购买苏州高新区东渚街道金沙江路158号</w:t>
            </w:r>
            <w:r>
              <w:rPr>
                <w:rFonts w:hint="eastAsia"/>
                <w:bCs/>
                <w:color w:val="000000"/>
                <w:sz w:val="24"/>
                <w:lang w:val="en-US" w:eastAsia="zh-CN"/>
              </w:rPr>
              <w:t>202室、</w:t>
            </w:r>
            <w:r>
              <w:rPr>
                <w:rFonts w:hint="eastAsia"/>
                <w:bCs/>
                <w:color w:val="000000"/>
                <w:sz w:val="24"/>
              </w:rPr>
              <w:t>302室</w:t>
            </w:r>
            <w:r>
              <w:rPr>
                <w:rFonts w:hint="eastAsia"/>
                <w:bCs/>
                <w:color w:val="000000"/>
                <w:sz w:val="24"/>
                <w:lang w:val="en-US" w:eastAsia="zh-CN"/>
              </w:rPr>
              <w:t>和402室</w:t>
            </w:r>
            <w:r>
              <w:rPr>
                <w:bCs/>
                <w:color w:val="000000"/>
                <w:sz w:val="24"/>
              </w:rPr>
              <w:t>闲置厂房生产。</w:t>
            </w:r>
            <w:r>
              <w:rPr>
                <w:rFonts w:hint="eastAsia"/>
                <w:bCs/>
                <w:color w:val="000000"/>
                <w:sz w:val="24"/>
              </w:rPr>
              <w:t>根据企业提供的资料，企业所在楼栋一楼还有其他承租企业，赛晶（江苏）视觉技术有限公司与其他承租企业的用水均由市政管网提供，用电由市政电网提供，生活污水则通过污水管网进入科技城水质净化厂处理。赛晶（江苏）视觉技术有限公司与其他承租企业应制定</w:t>
            </w:r>
            <w:r>
              <w:rPr>
                <w:bCs/>
                <w:color w:val="000000"/>
                <w:sz w:val="24"/>
              </w:rPr>
              <w:t>相对</w:t>
            </w:r>
            <w:r>
              <w:rPr>
                <w:rFonts w:hint="eastAsia"/>
                <w:bCs/>
                <w:color w:val="000000"/>
                <w:sz w:val="24"/>
              </w:rPr>
              <w:t>独立</w:t>
            </w:r>
            <w:r>
              <w:rPr>
                <w:bCs/>
                <w:color w:val="000000"/>
                <w:sz w:val="24"/>
              </w:rPr>
              <w:t>完善的环境管理体系</w:t>
            </w:r>
            <w:r>
              <w:rPr>
                <w:rFonts w:hint="eastAsia"/>
                <w:bCs/>
                <w:color w:val="000000"/>
                <w:sz w:val="24"/>
              </w:rPr>
              <w:t>，以</w:t>
            </w:r>
            <w:r>
              <w:rPr>
                <w:bCs/>
                <w:color w:val="000000"/>
                <w:sz w:val="24"/>
              </w:rPr>
              <w:t>应对在生产过程中可能突发的环境影响事件</w:t>
            </w:r>
            <w:r>
              <w:rPr>
                <w:rFonts w:hint="eastAsia"/>
                <w:bCs/>
                <w:color w:val="000000"/>
                <w:sz w:val="24"/>
              </w:rPr>
              <w:t>，应遵循“谁污染谁治理”的原则进行环保责任的界定。</w:t>
            </w:r>
          </w:p>
          <w:p>
            <w:pPr>
              <w:spacing w:line="360" w:lineRule="auto"/>
              <w:ind w:firstLine="480" w:firstLineChars="200"/>
              <w:rPr>
                <w:bCs/>
                <w:color w:val="000000"/>
                <w:sz w:val="24"/>
              </w:rPr>
            </w:pPr>
            <w:r>
              <w:rPr>
                <w:bCs/>
                <w:color w:val="000000"/>
                <w:sz w:val="24"/>
              </w:rPr>
              <w:t>本项目为新建项目，设备未引进，出租前厂房处于空置状态，无遗留环境问题，不存在与本项目有关的污染情况和环境问题。</w:t>
            </w:r>
          </w:p>
          <w:p>
            <w:pPr>
              <w:spacing w:line="360" w:lineRule="auto"/>
              <w:ind w:firstLine="480" w:firstLineChars="200"/>
              <w:rPr>
                <w:color w:val="000000"/>
                <w:kern w:val="0"/>
                <w:sz w:val="24"/>
              </w:rPr>
            </w:pPr>
          </w:p>
          <w:p>
            <w:pPr>
              <w:spacing w:line="360" w:lineRule="auto"/>
              <w:ind w:firstLine="480" w:firstLineChars="200"/>
              <w:rPr>
                <w:color w:val="000000"/>
                <w:kern w:val="0"/>
                <w:sz w:val="24"/>
              </w:rPr>
            </w:pPr>
          </w:p>
          <w:p>
            <w:pPr>
              <w:spacing w:line="360" w:lineRule="auto"/>
              <w:ind w:firstLine="480" w:firstLineChars="200"/>
              <w:rPr>
                <w:color w:val="000000"/>
                <w:kern w:val="0"/>
                <w:sz w:val="24"/>
              </w:rPr>
            </w:pPr>
          </w:p>
          <w:p>
            <w:pPr>
              <w:adjustRightInd w:val="0"/>
              <w:snapToGrid w:val="0"/>
              <w:spacing w:line="360" w:lineRule="auto"/>
              <w:rPr>
                <w:bCs/>
                <w:color w:val="000000"/>
                <w:sz w:val="24"/>
                <w:highlight w:val="yellow"/>
              </w:rPr>
            </w:pPr>
          </w:p>
        </w:tc>
      </w:tr>
    </w:tbl>
    <w:p>
      <w:pPr>
        <w:pStyle w:val="17"/>
        <w:jc w:val="both"/>
        <w:rPr>
          <w:rFonts w:ascii="Times New Roman" w:hAnsi="Times New Roman" w:eastAsia="黑体"/>
          <w:snapToGrid w:val="0"/>
          <w:sz w:val="36"/>
          <w:szCs w:val="36"/>
          <w:highlight w:val="yellow"/>
        </w:rPr>
        <w:sectPr>
          <w:pgSz w:w="11906" w:h="16838"/>
          <w:pgMar w:top="1440" w:right="1080" w:bottom="1440" w:left="1080" w:header="851" w:footer="851" w:gutter="0"/>
          <w:cols w:space="720" w:num="1"/>
          <w:docGrid w:linePitch="312" w:charSpace="0"/>
        </w:sectPr>
      </w:pPr>
    </w:p>
    <w:p>
      <w:pPr>
        <w:pStyle w:val="17"/>
        <w:jc w:val="center"/>
        <w:outlineLvl w:val="0"/>
        <w:rPr>
          <w:rFonts w:ascii="Times New Roman" w:hAnsi="Times New Roman" w:eastAsia="黑体"/>
          <w:snapToGrid w:val="0"/>
          <w:sz w:val="30"/>
          <w:szCs w:val="30"/>
        </w:rPr>
      </w:pPr>
      <w:bookmarkStart w:id="9" w:name="_Toc13949"/>
      <w:r>
        <w:rPr>
          <w:rFonts w:ascii="Times New Roman" w:hAnsi="Times New Roman" w:eastAsia="黑体"/>
          <w:snapToGrid w:val="0"/>
          <w:sz w:val="30"/>
          <w:szCs w:val="30"/>
        </w:rPr>
        <w:t>三、区域环境质量现状、环境保护目标及评价标准</w:t>
      </w:r>
      <w:bookmarkEnd w:id="9"/>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7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800" w:type="dxa"/>
            <w:vAlign w:val="center"/>
          </w:tcPr>
          <w:p>
            <w:pPr>
              <w:adjustRightInd w:val="0"/>
              <w:snapToGrid w:val="0"/>
              <w:jc w:val="center"/>
              <w:rPr>
                <w:color w:val="000000"/>
                <w:kern w:val="0"/>
                <w:sz w:val="24"/>
              </w:rPr>
            </w:pPr>
            <w:r>
              <w:rPr>
                <w:color w:val="000000"/>
                <w:kern w:val="0"/>
                <w:sz w:val="24"/>
              </w:rPr>
              <w:t>区域</w:t>
            </w:r>
          </w:p>
          <w:p>
            <w:pPr>
              <w:adjustRightInd w:val="0"/>
              <w:snapToGrid w:val="0"/>
              <w:jc w:val="center"/>
              <w:rPr>
                <w:color w:val="000000"/>
                <w:kern w:val="0"/>
                <w:sz w:val="24"/>
              </w:rPr>
            </w:pPr>
            <w:r>
              <w:rPr>
                <w:color w:val="000000"/>
                <w:kern w:val="0"/>
                <w:sz w:val="24"/>
              </w:rPr>
              <w:t>环境</w:t>
            </w:r>
          </w:p>
          <w:p>
            <w:pPr>
              <w:adjustRightInd w:val="0"/>
              <w:snapToGrid w:val="0"/>
              <w:jc w:val="center"/>
              <w:rPr>
                <w:color w:val="000000"/>
                <w:kern w:val="0"/>
                <w:sz w:val="24"/>
              </w:rPr>
            </w:pPr>
            <w:r>
              <w:rPr>
                <w:color w:val="000000"/>
                <w:kern w:val="0"/>
                <w:sz w:val="24"/>
              </w:rPr>
              <w:t>质量</w:t>
            </w:r>
          </w:p>
          <w:p>
            <w:pPr>
              <w:adjustRightInd w:val="0"/>
              <w:snapToGrid w:val="0"/>
              <w:jc w:val="center"/>
              <w:rPr>
                <w:color w:val="000000"/>
                <w:kern w:val="0"/>
                <w:szCs w:val="21"/>
                <w:highlight w:val="yellow"/>
              </w:rPr>
            </w:pPr>
            <w:r>
              <w:rPr>
                <w:color w:val="000000"/>
                <w:kern w:val="0"/>
                <w:sz w:val="24"/>
              </w:rPr>
              <w:t>现状</w:t>
            </w:r>
          </w:p>
        </w:tc>
        <w:tc>
          <w:tcPr>
            <w:tcW w:w="8726" w:type="dxa"/>
            <w:vAlign w:val="center"/>
          </w:tcPr>
          <w:p>
            <w:pPr>
              <w:tabs>
                <w:tab w:val="left" w:pos="0"/>
              </w:tabs>
              <w:spacing w:line="360" w:lineRule="auto"/>
              <w:jc w:val="left"/>
              <w:rPr>
                <w:b/>
                <w:color w:val="000000"/>
                <w:sz w:val="24"/>
              </w:rPr>
            </w:pPr>
            <w:r>
              <w:rPr>
                <w:b/>
                <w:color w:val="000000"/>
                <w:sz w:val="24"/>
                <w:szCs w:val="21"/>
              </w:rPr>
              <w:t>3.1区域环境质量现状</w:t>
            </w:r>
          </w:p>
          <w:p>
            <w:pPr>
              <w:tabs>
                <w:tab w:val="left" w:pos="0"/>
              </w:tabs>
              <w:spacing w:line="360" w:lineRule="auto"/>
              <w:jc w:val="left"/>
              <w:rPr>
                <w:b/>
                <w:color w:val="000000"/>
                <w:sz w:val="24"/>
              </w:rPr>
            </w:pPr>
            <w:r>
              <w:rPr>
                <w:b/>
                <w:color w:val="000000"/>
                <w:sz w:val="24"/>
              </w:rPr>
              <w:t>3.1.1大气环境质量现状</w:t>
            </w:r>
          </w:p>
          <w:p>
            <w:pPr>
              <w:pStyle w:val="7"/>
              <w:spacing w:line="360" w:lineRule="auto"/>
              <w:ind w:firstLine="480" w:firstLineChars="200"/>
              <w:rPr>
                <w:color w:val="000000"/>
                <w:sz w:val="24"/>
                <w:szCs w:val="21"/>
              </w:rPr>
            </w:pPr>
            <w:r>
              <w:rPr>
                <w:color w:val="000000"/>
                <w:sz w:val="24"/>
                <w:szCs w:val="21"/>
              </w:rPr>
              <w:t>根据《建设项目环境影响报告表编制技术指南（污染影响类）（试行）》可知：“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个点位补充不少于3天的监测数据。”</w:t>
            </w:r>
          </w:p>
          <w:p>
            <w:pPr>
              <w:pStyle w:val="7"/>
              <w:spacing w:line="360" w:lineRule="auto"/>
              <w:ind w:firstLine="480" w:firstLineChars="200"/>
              <w:rPr>
                <w:color w:val="000000"/>
                <w:sz w:val="24"/>
                <w:szCs w:val="21"/>
              </w:rPr>
            </w:pPr>
            <w:r>
              <w:rPr>
                <w:rFonts w:hint="eastAsia"/>
                <w:color w:val="000000"/>
                <w:sz w:val="24"/>
                <w:szCs w:val="21"/>
              </w:rPr>
              <w:t>（1）区域环境质量现状</w:t>
            </w:r>
          </w:p>
          <w:p>
            <w:pPr>
              <w:pStyle w:val="7"/>
              <w:spacing w:line="360" w:lineRule="auto"/>
              <w:ind w:firstLine="480" w:firstLineChars="200"/>
              <w:rPr>
                <w:color w:val="000000"/>
                <w:sz w:val="24"/>
                <w:szCs w:val="21"/>
              </w:rPr>
            </w:pPr>
            <w:r>
              <w:rPr>
                <w:rFonts w:hint="eastAsia"/>
                <w:color w:val="000000"/>
                <w:sz w:val="24"/>
                <w:szCs w:val="21"/>
              </w:rPr>
              <w:t>根据《2022年度苏州高新区环境状况公报》，</w:t>
            </w:r>
            <w:r>
              <w:rPr>
                <w:color w:val="000000"/>
                <w:sz w:val="24"/>
                <w:szCs w:val="21"/>
              </w:rPr>
              <w:t>2022年苏州高新区全年空气质量（AQI）优良率为78.9%</w:t>
            </w:r>
            <w:r>
              <w:rPr>
                <w:rFonts w:hint="eastAsia"/>
                <w:color w:val="000000"/>
                <w:sz w:val="24"/>
                <w:szCs w:val="21"/>
              </w:rPr>
              <w:t>。区域空气质量现状评价见表3-1。</w:t>
            </w:r>
          </w:p>
          <w:p>
            <w:pPr>
              <w:jc w:val="center"/>
              <w:rPr>
                <w:b/>
                <w:color w:val="000000"/>
              </w:rPr>
            </w:pPr>
            <w:r>
              <w:rPr>
                <w:rFonts w:hint="eastAsia"/>
                <w:b/>
                <w:color w:val="000000"/>
              </w:rPr>
              <w:t>表3-1  区域空气质量现状评价表</w:t>
            </w:r>
          </w:p>
          <w:tbl>
            <w:tblPr>
              <w:tblStyle w:val="20"/>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2717"/>
              <w:gridCol w:w="1218"/>
              <w:gridCol w:w="1182"/>
              <w:gridCol w:w="1214"/>
              <w:gridCol w:w="11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46" w:hRule="atLeast"/>
                <w:jc w:val="center"/>
              </w:trPr>
              <w:tc>
                <w:tcPr>
                  <w:tcW w:w="996" w:type="dxa"/>
                  <w:vAlign w:val="center"/>
                </w:tcPr>
                <w:p>
                  <w:pPr>
                    <w:jc w:val="center"/>
                    <w:rPr>
                      <w:b/>
                      <w:color w:val="000000"/>
                      <w:szCs w:val="21"/>
                    </w:rPr>
                  </w:pPr>
                  <w:r>
                    <w:rPr>
                      <w:b/>
                      <w:color w:val="000000"/>
                      <w:szCs w:val="21"/>
                    </w:rPr>
                    <w:t>污染物</w:t>
                  </w:r>
                </w:p>
              </w:tc>
              <w:tc>
                <w:tcPr>
                  <w:tcW w:w="2801" w:type="dxa"/>
                  <w:vAlign w:val="center"/>
                </w:tcPr>
                <w:p>
                  <w:pPr>
                    <w:jc w:val="center"/>
                    <w:rPr>
                      <w:b/>
                      <w:color w:val="000000"/>
                      <w:szCs w:val="21"/>
                    </w:rPr>
                  </w:pPr>
                  <w:r>
                    <w:rPr>
                      <w:b/>
                      <w:color w:val="000000"/>
                      <w:szCs w:val="21"/>
                    </w:rPr>
                    <w:t>年评价指标</w:t>
                  </w:r>
                </w:p>
              </w:tc>
              <w:tc>
                <w:tcPr>
                  <w:tcW w:w="1220" w:type="dxa"/>
                  <w:vAlign w:val="center"/>
                </w:tcPr>
                <w:p>
                  <w:pPr>
                    <w:jc w:val="center"/>
                    <w:rPr>
                      <w:b/>
                      <w:color w:val="000000"/>
                      <w:szCs w:val="21"/>
                    </w:rPr>
                  </w:pPr>
                  <w:r>
                    <w:rPr>
                      <w:b/>
                      <w:color w:val="000000"/>
                      <w:szCs w:val="21"/>
                    </w:rPr>
                    <w:t>现状浓度/（µg/m</w:t>
                  </w:r>
                  <w:r>
                    <w:rPr>
                      <w:b/>
                      <w:color w:val="000000"/>
                      <w:szCs w:val="21"/>
                      <w:vertAlign w:val="superscript"/>
                    </w:rPr>
                    <w:t>3</w:t>
                  </w:r>
                  <w:r>
                    <w:rPr>
                      <w:b/>
                      <w:color w:val="000000"/>
                      <w:szCs w:val="21"/>
                    </w:rPr>
                    <w:t>）</w:t>
                  </w:r>
                </w:p>
              </w:tc>
              <w:tc>
                <w:tcPr>
                  <w:tcW w:w="1183" w:type="dxa"/>
                  <w:vAlign w:val="center"/>
                </w:tcPr>
                <w:p>
                  <w:pPr>
                    <w:jc w:val="center"/>
                    <w:rPr>
                      <w:b/>
                      <w:color w:val="000000"/>
                      <w:szCs w:val="21"/>
                    </w:rPr>
                  </w:pPr>
                  <w:r>
                    <w:rPr>
                      <w:b/>
                      <w:color w:val="000000"/>
                      <w:szCs w:val="21"/>
                    </w:rPr>
                    <w:t>标准值/（µg/m</w:t>
                  </w:r>
                  <w:r>
                    <w:rPr>
                      <w:b/>
                      <w:color w:val="000000"/>
                      <w:szCs w:val="21"/>
                      <w:vertAlign w:val="superscript"/>
                    </w:rPr>
                    <w:t>3</w:t>
                  </w:r>
                  <w:r>
                    <w:rPr>
                      <w:b/>
                      <w:color w:val="000000"/>
                      <w:szCs w:val="21"/>
                    </w:rPr>
                    <w:t>）</w:t>
                  </w:r>
                </w:p>
              </w:tc>
              <w:tc>
                <w:tcPr>
                  <w:tcW w:w="1233" w:type="dxa"/>
                  <w:vAlign w:val="center"/>
                </w:tcPr>
                <w:p>
                  <w:pPr>
                    <w:jc w:val="center"/>
                    <w:rPr>
                      <w:b/>
                      <w:color w:val="000000"/>
                      <w:szCs w:val="21"/>
                    </w:rPr>
                  </w:pPr>
                  <w:r>
                    <w:rPr>
                      <w:b/>
                      <w:color w:val="000000"/>
                      <w:szCs w:val="21"/>
                    </w:rPr>
                    <w:t>占标率/%</w:t>
                  </w:r>
                </w:p>
              </w:tc>
              <w:tc>
                <w:tcPr>
                  <w:tcW w:w="1221" w:type="dxa"/>
                  <w:vAlign w:val="center"/>
                </w:tcPr>
                <w:p>
                  <w:pPr>
                    <w:jc w:val="center"/>
                    <w:rPr>
                      <w:b/>
                      <w:color w:val="000000"/>
                      <w:szCs w:val="21"/>
                    </w:rPr>
                  </w:pPr>
                  <w:r>
                    <w:rPr>
                      <w:b/>
                      <w:color w:val="000000"/>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96" w:type="dxa"/>
                  <w:vAlign w:val="center"/>
                </w:tcPr>
                <w:p>
                  <w:pPr>
                    <w:jc w:val="center"/>
                    <w:rPr>
                      <w:color w:val="000000"/>
                      <w:szCs w:val="21"/>
                    </w:rPr>
                  </w:pPr>
                  <w:r>
                    <w:rPr>
                      <w:color w:val="000000"/>
                      <w:szCs w:val="21"/>
                    </w:rPr>
                    <w:t>SO</w:t>
                  </w:r>
                  <w:r>
                    <w:rPr>
                      <w:color w:val="000000"/>
                      <w:szCs w:val="21"/>
                      <w:vertAlign w:val="subscript"/>
                    </w:rPr>
                    <w:t>2</w:t>
                  </w:r>
                </w:p>
              </w:tc>
              <w:tc>
                <w:tcPr>
                  <w:tcW w:w="2801" w:type="dxa"/>
                  <w:vAlign w:val="center"/>
                </w:tcPr>
                <w:p>
                  <w:pPr>
                    <w:jc w:val="center"/>
                    <w:rPr>
                      <w:color w:val="000000"/>
                      <w:szCs w:val="21"/>
                    </w:rPr>
                  </w:pPr>
                  <w:r>
                    <w:rPr>
                      <w:color w:val="000000"/>
                      <w:szCs w:val="21"/>
                    </w:rPr>
                    <w:t>年平均质量浓度</w:t>
                  </w:r>
                </w:p>
              </w:tc>
              <w:tc>
                <w:tcPr>
                  <w:tcW w:w="1220" w:type="dxa"/>
                  <w:vAlign w:val="center"/>
                </w:tcPr>
                <w:p>
                  <w:pPr>
                    <w:jc w:val="center"/>
                    <w:rPr>
                      <w:rFonts w:ascii="TimesNewRomanPSMT" w:cs="TimesNewRomanPSMT"/>
                      <w:color w:val="000000"/>
                      <w:kern w:val="0"/>
                      <w:szCs w:val="21"/>
                    </w:rPr>
                  </w:pPr>
                  <w:r>
                    <w:rPr>
                      <w:rFonts w:hint="eastAsia" w:ascii="TimesNewRomanPSMT" w:hAnsi="Calibri" w:cs="TimesNewRomanPSMT"/>
                      <w:color w:val="000000"/>
                      <w:kern w:val="0"/>
                      <w:szCs w:val="21"/>
                    </w:rPr>
                    <w:t>6</w:t>
                  </w:r>
                </w:p>
              </w:tc>
              <w:tc>
                <w:tcPr>
                  <w:tcW w:w="1183" w:type="dxa"/>
                  <w:vAlign w:val="center"/>
                </w:tcPr>
                <w:p>
                  <w:pPr>
                    <w:jc w:val="center"/>
                    <w:rPr>
                      <w:rFonts w:ascii="TimesNewRomanPSMT" w:eastAsia="TimesNewRomanPSMT" w:cs="TimesNewRomanPSMT"/>
                      <w:color w:val="000000"/>
                      <w:kern w:val="0"/>
                      <w:szCs w:val="21"/>
                    </w:rPr>
                  </w:pPr>
                  <w:r>
                    <w:rPr>
                      <w:rFonts w:hint="eastAsia" w:ascii="TimesNewRomanPSMT" w:hAnsi="Calibri" w:eastAsia="TimesNewRomanPSMT" w:cs="TimesNewRomanPSMT"/>
                      <w:color w:val="000000"/>
                      <w:kern w:val="0"/>
                      <w:szCs w:val="21"/>
                    </w:rPr>
                    <w:t>6</w:t>
                  </w:r>
                  <w:r>
                    <w:rPr>
                      <w:rFonts w:ascii="TimesNewRomanPSMT" w:hAnsi="Calibri" w:eastAsia="TimesNewRomanPSMT" w:cs="TimesNewRomanPSMT"/>
                      <w:color w:val="000000"/>
                      <w:kern w:val="0"/>
                      <w:szCs w:val="21"/>
                    </w:rPr>
                    <w:t>0</w:t>
                  </w:r>
                </w:p>
              </w:tc>
              <w:tc>
                <w:tcPr>
                  <w:tcW w:w="1233" w:type="dxa"/>
                  <w:vAlign w:val="center"/>
                </w:tcPr>
                <w:p>
                  <w:pPr>
                    <w:jc w:val="center"/>
                    <w:rPr>
                      <w:rFonts w:ascii="TimesNewRomanPSMT" w:cs="TimesNewRomanPSMT"/>
                      <w:color w:val="000000"/>
                      <w:kern w:val="0"/>
                      <w:szCs w:val="21"/>
                    </w:rPr>
                  </w:pPr>
                  <w:r>
                    <w:rPr>
                      <w:rFonts w:hint="eastAsia" w:ascii="TimesNewRomanPSMT" w:hAnsi="Calibri" w:eastAsia="TimesNewRomanPSMT" w:cs="TimesNewRomanPSMT"/>
                      <w:color w:val="000000"/>
                      <w:kern w:val="0"/>
                      <w:szCs w:val="21"/>
                    </w:rPr>
                    <w:t>1</w:t>
                  </w:r>
                  <w:r>
                    <w:rPr>
                      <w:rFonts w:hint="eastAsia" w:ascii="TimesNewRomanPSMT" w:hAnsi="Calibri" w:cs="TimesNewRomanPSMT"/>
                      <w:color w:val="000000"/>
                      <w:kern w:val="0"/>
                      <w:szCs w:val="21"/>
                    </w:rPr>
                    <w:t>0</w:t>
                  </w:r>
                </w:p>
              </w:tc>
              <w:tc>
                <w:tcPr>
                  <w:tcW w:w="1221" w:type="dxa"/>
                  <w:vAlign w:val="center"/>
                </w:tcPr>
                <w:p>
                  <w:pPr>
                    <w:jc w:val="center"/>
                    <w:rPr>
                      <w:color w:val="000000"/>
                      <w:szCs w:val="21"/>
                    </w:rPr>
                  </w:pPr>
                  <w:r>
                    <w:rPr>
                      <w:rFonts w:hint="eastAsia" w:ascii="宋体" w:hAnsi="Calibri" w:cs="宋体"/>
                      <w:color w:val="000000"/>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96" w:type="dxa"/>
                  <w:vAlign w:val="center"/>
                </w:tcPr>
                <w:p>
                  <w:pPr>
                    <w:jc w:val="center"/>
                    <w:rPr>
                      <w:color w:val="000000"/>
                      <w:szCs w:val="21"/>
                    </w:rPr>
                  </w:pPr>
                  <w:r>
                    <w:rPr>
                      <w:color w:val="000000"/>
                      <w:szCs w:val="21"/>
                    </w:rPr>
                    <w:t>NO</w:t>
                  </w:r>
                  <w:r>
                    <w:rPr>
                      <w:color w:val="000000"/>
                      <w:szCs w:val="21"/>
                      <w:vertAlign w:val="subscript"/>
                    </w:rPr>
                    <w:t>2</w:t>
                  </w:r>
                </w:p>
              </w:tc>
              <w:tc>
                <w:tcPr>
                  <w:tcW w:w="2801" w:type="dxa"/>
                  <w:vAlign w:val="center"/>
                </w:tcPr>
                <w:p>
                  <w:pPr>
                    <w:jc w:val="center"/>
                    <w:rPr>
                      <w:color w:val="000000"/>
                      <w:szCs w:val="21"/>
                    </w:rPr>
                  </w:pPr>
                  <w:r>
                    <w:rPr>
                      <w:color w:val="000000"/>
                      <w:szCs w:val="21"/>
                    </w:rPr>
                    <w:t>年平均质量浓度</w:t>
                  </w:r>
                </w:p>
              </w:tc>
              <w:tc>
                <w:tcPr>
                  <w:tcW w:w="1220" w:type="dxa"/>
                  <w:vAlign w:val="center"/>
                </w:tcPr>
                <w:p>
                  <w:pPr>
                    <w:jc w:val="center"/>
                    <w:rPr>
                      <w:rFonts w:ascii="TimesNewRomanPSMT" w:cs="TimesNewRomanPSMT"/>
                      <w:color w:val="000000"/>
                      <w:kern w:val="0"/>
                      <w:szCs w:val="21"/>
                    </w:rPr>
                  </w:pPr>
                  <w:r>
                    <w:rPr>
                      <w:rFonts w:hint="eastAsia" w:ascii="TimesNewRomanPSMT" w:hAnsi="Calibri" w:eastAsia="TimesNewRomanPSMT" w:cs="TimesNewRomanPSMT"/>
                      <w:color w:val="000000"/>
                      <w:kern w:val="0"/>
                      <w:szCs w:val="21"/>
                    </w:rPr>
                    <w:t>2</w:t>
                  </w:r>
                  <w:r>
                    <w:rPr>
                      <w:rFonts w:hint="eastAsia" w:ascii="TimesNewRomanPSMT" w:hAnsi="Calibri" w:cs="TimesNewRomanPSMT"/>
                      <w:color w:val="000000"/>
                      <w:kern w:val="0"/>
                      <w:szCs w:val="21"/>
                    </w:rPr>
                    <w:t>5</w:t>
                  </w:r>
                </w:p>
              </w:tc>
              <w:tc>
                <w:tcPr>
                  <w:tcW w:w="1183" w:type="dxa"/>
                  <w:vAlign w:val="center"/>
                </w:tcPr>
                <w:p>
                  <w:pPr>
                    <w:jc w:val="center"/>
                    <w:rPr>
                      <w:rFonts w:ascii="TimesNewRomanPSMT" w:eastAsia="TimesNewRomanPSMT" w:cs="TimesNewRomanPSMT"/>
                      <w:color w:val="000000"/>
                      <w:kern w:val="0"/>
                      <w:szCs w:val="21"/>
                    </w:rPr>
                  </w:pPr>
                  <w:r>
                    <w:rPr>
                      <w:rFonts w:ascii="TimesNewRomanPSMT" w:hAnsi="Calibri" w:eastAsia="TimesNewRomanPSMT" w:cs="TimesNewRomanPSMT"/>
                      <w:color w:val="000000"/>
                      <w:kern w:val="0"/>
                      <w:szCs w:val="21"/>
                    </w:rPr>
                    <w:t>40</w:t>
                  </w:r>
                </w:p>
              </w:tc>
              <w:tc>
                <w:tcPr>
                  <w:tcW w:w="1233" w:type="dxa"/>
                  <w:vAlign w:val="center"/>
                </w:tcPr>
                <w:p>
                  <w:pPr>
                    <w:jc w:val="center"/>
                    <w:rPr>
                      <w:rFonts w:ascii="TimesNewRomanPSMT" w:cs="TimesNewRomanPSMT"/>
                      <w:color w:val="000000"/>
                      <w:kern w:val="0"/>
                      <w:szCs w:val="21"/>
                    </w:rPr>
                  </w:pPr>
                  <w:r>
                    <w:rPr>
                      <w:rFonts w:hint="eastAsia" w:ascii="TimesNewRomanPSMT" w:hAnsi="Calibri" w:cs="TimesNewRomanPSMT"/>
                      <w:color w:val="000000"/>
                      <w:kern w:val="0"/>
                      <w:szCs w:val="21"/>
                    </w:rPr>
                    <w:t>62.5</w:t>
                  </w:r>
                </w:p>
              </w:tc>
              <w:tc>
                <w:tcPr>
                  <w:tcW w:w="1221" w:type="dxa"/>
                  <w:vAlign w:val="center"/>
                </w:tcPr>
                <w:p>
                  <w:pPr>
                    <w:jc w:val="center"/>
                    <w:rPr>
                      <w:color w:val="000000"/>
                      <w:szCs w:val="21"/>
                    </w:rPr>
                  </w:pPr>
                  <w:r>
                    <w:rPr>
                      <w:rFonts w:hint="eastAsia" w:ascii="宋体" w:hAnsi="Calibri" w:cs="宋体"/>
                      <w:color w:val="000000"/>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96" w:type="dxa"/>
                  <w:vAlign w:val="center"/>
                </w:tcPr>
                <w:p>
                  <w:pPr>
                    <w:jc w:val="center"/>
                    <w:rPr>
                      <w:color w:val="000000"/>
                      <w:szCs w:val="21"/>
                    </w:rPr>
                  </w:pPr>
                  <w:r>
                    <w:rPr>
                      <w:color w:val="000000"/>
                      <w:szCs w:val="21"/>
                    </w:rPr>
                    <w:t>PM</w:t>
                  </w:r>
                  <w:r>
                    <w:rPr>
                      <w:color w:val="000000"/>
                      <w:szCs w:val="21"/>
                      <w:vertAlign w:val="subscript"/>
                    </w:rPr>
                    <w:t>10</w:t>
                  </w:r>
                </w:p>
              </w:tc>
              <w:tc>
                <w:tcPr>
                  <w:tcW w:w="2801" w:type="dxa"/>
                  <w:vAlign w:val="center"/>
                </w:tcPr>
                <w:p>
                  <w:pPr>
                    <w:jc w:val="center"/>
                    <w:rPr>
                      <w:color w:val="000000"/>
                      <w:szCs w:val="21"/>
                    </w:rPr>
                  </w:pPr>
                  <w:r>
                    <w:rPr>
                      <w:color w:val="000000"/>
                      <w:szCs w:val="21"/>
                    </w:rPr>
                    <w:t>年平均质量浓度</w:t>
                  </w:r>
                </w:p>
              </w:tc>
              <w:tc>
                <w:tcPr>
                  <w:tcW w:w="1220" w:type="dxa"/>
                  <w:vAlign w:val="center"/>
                </w:tcPr>
                <w:p>
                  <w:pPr>
                    <w:jc w:val="center"/>
                    <w:rPr>
                      <w:rFonts w:ascii="TimesNewRomanPSMT" w:cs="TimesNewRomanPSMT"/>
                      <w:color w:val="000000"/>
                      <w:kern w:val="0"/>
                      <w:szCs w:val="21"/>
                    </w:rPr>
                  </w:pPr>
                  <w:r>
                    <w:rPr>
                      <w:rFonts w:hint="eastAsia" w:ascii="TimesNewRomanPSMT" w:hAnsi="Calibri" w:eastAsia="TimesNewRomanPSMT" w:cs="TimesNewRomanPSMT"/>
                      <w:color w:val="000000"/>
                      <w:kern w:val="0"/>
                      <w:szCs w:val="21"/>
                    </w:rPr>
                    <w:t>4</w:t>
                  </w:r>
                  <w:r>
                    <w:rPr>
                      <w:rFonts w:hint="eastAsia" w:ascii="TimesNewRomanPSMT" w:hAnsi="Calibri" w:cs="TimesNewRomanPSMT"/>
                      <w:color w:val="000000"/>
                      <w:kern w:val="0"/>
                      <w:szCs w:val="21"/>
                    </w:rPr>
                    <w:t>4</w:t>
                  </w:r>
                </w:p>
              </w:tc>
              <w:tc>
                <w:tcPr>
                  <w:tcW w:w="1183" w:type="dxa"/>
                  <w:vAlign w:val="center"/>
                </w:tcPr>
                <w:p>
                  <w:pPr>
                    <w:jc w:val="center"/>
                    <w:rPr>
                      <w:rFonts w:ascii="TimesNewRomanPSMT" w:eastAsia="TimesNewRomanPSMT" w:cs="TimesNewRomanPSMT"/>
                      <w:color w:val="000000"/>
                      <w:kern w:val="0"/>
                      <w:szCs w:val="21"/>
                    </w:rPr>
                  </w:pPr>
                  <w:r>
                    <w:rPr>
                      <w:rFonts w:ascii="TimesNewRomanPSMT" w:hAnsi="Calibri" w:eastAsia="TimesNewRomanPSMT" w:cs="TimesNewRomanPSMT"/>
                      <w:color w:val="000000"/>
                      <w:kern w:val="0"/>
                      <w:szCs w:val="21"/>
                    </w:rPr>
                    <w:t>70</w:t>
                  </w:r>
                </w:p>
              </w:tc>
              <w:tc>
                <w:tcPr>
                  <w:tcW w:w="1233" w:type="dxa"/>
                  <w:vAlign w:val="center"/>
                </w:tcPr>
                <w:p>
                  <w:pPr>
                    <w:jc w:val="center"/>
                    <w:rPr>
                      <w:rFonts w:ascii="TimesNewRomanPSMT" w:cs="TimesNewRomanPSMT"/>
                      <w:color w:val="000000"/>
                      <w:kern w:val="0"/>
                      <w:szCs w:val="21"/>
                    </w:rPr>
                  </w:pPr>
                  <w:r>
                    <w:rPr>
                      <w:rFonts w:hint="eastAsia" w:ascii="TimesNewRomanPSMT" w:hAnsi="Calibri" w:cs="TimesNewRomanPSMT"/>
                      <w:color w:val="000000"/>
                      <w:kern w:val="0"/>
                      <w:szCs w:val="21"/>
                    </w:rPr>
                    <w:t>62.86</w:t>
                  </w:r>
                </w:p>
              </w:tc>
              <w:tc>
                <w:tcPr>
                  <w:tcW w:w="1221" w:type="dxa"/>
                  <w:vAlign w:val="center"/>
                </w:tcPr>
                <w:p>
                  <w:pPr>
                    <w:jc w:val="center"/>
                    <w:rPr>
                      <w:color w:val="000000"/>
                      <w:szCs w:val="21"/>
                    </w:rPr>
                  </w:pPr>
                  <w:r>
                    <w:rPr>
                      <w:rFonts w:hint="eastAsia" w:ascii="宋体" w:hAnsi="Calibri" w:cs="宋体"/>
                      <w:color w:val="000000"/>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96" w:type="dxa"/>
                  <w:vAlign w:val="center"/>
                </w:tcPr>
                <w:p>
                  <w:pPr>
                    <w:jc w:val="center"/>
                    <w:rPr>
                      <w:color w:val="000000"/>
                      <w:szCs w:val="21"/>
                    </w:rPr>
                  </w:pPr>
                  <w:r>
                    <w:rPr>
                      <w:color w:val="000000"/>
                      <w:szCs w:val="21"/>
                    </w:rPr>
                    <w:t>PM</w:t>
                  </w:r>
                  <w:r>
                    <w:rPr>
                      <w:rFonts w:hint="eastAsia"/>
                      <w:color w:val="000000"/>
                      <w:szCs w:val="21"/>
                      <w:vertAlign w:val="subscript"/>
                    </w:rPr>
                    <w:t>2.5</w:t>
                  </w:r>
                </w:p>
              </w:tc>
              <w:tc>
                <w:tcPr>
                  <w:tcW w:w="2801" w:type="dxa"/>
                  <w:vAlign w:val="center"/>
                </w:tcPr>
                <w:p>
                  <w:pPr>
                    <w:jc w:val="center"/>
                    <w:rPr>
                      <w:color w:val="000000"/>
                      <w:szCs w:val="21"/>
                    </w:rPr>
                  </w:pPr>
                  <w:r>
                    <w:rPr>
                      <w:color w:val="000000"/>
                      <w:szCs w:val="21"/>
                    </w:rPr>
                    <w:t>年平均质量浓度</w:t>
                  </w:r>
                </w:p>
              </w:tc>
              <w:tc>
                <w:tcPr>
                  <w:tcW w:w="1220" w:type="dxa"/>
                  <w:vAlign w:val="center"/>
                </w:tcPr>
                <w:p>
                  <w:pPr>
                    <w:jc w:val="center"/>
                    <w:rPr>
                      <w:rFonts w:ascii="TimesNewRomanPSMT" w:cs="TimesNewRomanPSMT"/>
                      <w:color w:val="000000"/>
                      <w:kern w:val="0"/>
                      <w:szCs w:val="21"/>
                    </w:rPr>
                  </w:pPr>
                  <w:r>
                    <w:rPr>
                      <w:rFonts w:hint="eastAsia" w:ascii="TimesNewRomanPSMT" w:hAnsi="Calibri" w:cs="TimesNewRomanPSMT"/>
                      <w:color w:val="000000"/>
                      <w:kern w:val="0"/>
                      <w:szCs w:val="21"/>
                    </w:rPr>
                    <w:t>28</w:t>
                  </w:r>
                </w:p>
              </w:tc>
              <w:tc>
                <w:tcPr>
                  <w:tcW w:w="1183" w:type="dxa"/>
                  <w:vAlign w:val="center"/>
                </w:tcPr>
                <w:p>
                  <w:pPr>
                    <w:jc w:val="center"/>
                    <w:rPr>
                      <w:rFonts w:ascii="TimesNewRomanPSMT" w:eastAsia="TimesNewRomanPSMT" w:cs="TimesNewRomanPSMT"/>
                      <w:color w:val="000000"/>
                      <w:kern w:val="0"/>
                      <w:szCs w:val="21"/>
                    </w:rPr>
                  </w:pPr>
                  <w:r>
                    <w:rPr>
                      <w:rFonts w:ascii="TimesNewRomanPSMT" w:hAnsi="Calibri" w:eastAsia="TimesNewRomanPSMT" w:cs="TimesNewRomanPSMT"/>
                      <w:color w:val="000000"/>
                      <w:kern w:val="0"/>
                      <w:szCs w:val="21"/>
                    </w:rPr>
                    <w:t>35</w:t>
                  </w:r>
                </w:p>
              </w:tc>
              <w:tc>
                <w:tcPr>
                  <w:tcW w:w="1233" w:type="dxa"/>
                  <w:vAlign w:val="center"/>
                </w:tcPr>
                <w:p>
                  <w:pPr>
                    <w:jc w:val="center"/>
                    <w:rPr>
                      <w:rFonts w:ascii="TimesNewRomanPSMT" w:cs="TimesNewRomanPSMT"/>
                      <w:color w:val="000000"/>
                      <w:kern w:val="0"/>
                      <w:szCs w:val="21"/>
                    </w:rPr>
                  </w:pPr>
                  <w:r>
                    <w:rPr>
                      <w:rFonts w:hint="eastAsia" w:ascii="TimesNewRomanPSMT" w:hAnsi="Calibri" w:eastAsia="TimesNewRomanPSMT" w:cs="TimesNewRomanPSMT"/>
                      <w:color w:val="000000"/>
                      <w:kern w:val="0"/>
                      <w:szCs w:val="21"/>
                    </w:rPr>
                    <w:t>8</w:t>
                  </w:r>
                  <w:r>
                    <w:rPr>
                      <w:rFonts w:hint="eastAsia" w:ascii="TimesNewRomanPSMT" w:hAnsi="Calibri" w:cs="TimesNewRomanPSMT"/>
                      <w:color w:val="000000"/>
                      <w:kern w:val="0"/>
                      <w:szCs w:val="21"/>
                    </w:rPr>
                    <w:t>0</w:t>
                  </w:r>
                </w:p>
              </w:tc>
              <w:tc>
                <w:tcPr>
                  <w:tcW w:w="1221" w:type="dxa"/>
                  <w:vAlign w:val="center"/>
                </w:tcPr>
                <w:p>
                  <w:pPr>
                    <w:jc w:val="center"/>
                    <w:rPr>
                      <w:color w:val="000000"/>
                      <w:szCs w:val="21"/>
                    </w:rPr>
                  </w:pPr>
                  <w:r>
                    <w:rPr>
                      <w:rFonts w:hint="eastAsia" w:ascii="宋体" w:hAnsi="Calibri" w:cs="宋体"/>
                      <w:color w:val="000000"/>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96" w:type="dxa"/>
                  <w:vAlign w:val="center"/>
                </w:tcPr>
                <w:p>
                  <w:pPr>
                    <w:jc w:val="center"/>
                    <w:rPr>
                      <w:color w:val="000000"/>
                      <w:szCs w:val="21"/>
                    </w:rPr>
                  </w:pPr>
                  <w:r>
                    <w:rPr>
                      <w:color w:val="000000"/>
                      <w:szCs w:val="21"/>
                    </w:rPr>
                    <w:t>CO</w:t>
                  </w:r>
                </w:p>
              </w:tc>
              <w:tc>
                <w:tcPr>
                  <w:tcW w:w="2801" w:type="dxa"/>
                  <w:vAlign w:val="center"/>
                </w:tcPr>
                <w:p>
                  <w:pPr>
                    <w:jc w:val="center"/>
                    <w:rPr>
                      <w:color w:val="000000"/>
                      <w:szCs w:val="21"/>
                    </w:rPr>
                  </w:pPr>
                  <w:r>
                    <w:rPr>
                      <w:color w:val="000000"/>
                      <w:szCs w:val="21"/>
                    </w:rPr>
                    <w:t>24 小时平均第95百分位数</w:t>
                  </w:r>
                </w:p>
              </w:tc>
              <w:tc>
                <w:tcPr>
                  <w:tcW w:w="1220" w:type="dxa"/>
                  <w:vAlign w:val="center"/>
                </w:tcPr>
                <w:p>
                  <w:pPr>
                    <w:jc w:val="center"/>
                    <w:rPr>
                      <w:rFonts w:ascii="TimesNewRomanPSMT" w:eastAsia="TimesNewRomanPSMT" w:cs="TimesNewRomanPSMT"/>
                      <w:color w:val="000000"/>
                      <w:kern w:val="0"/>
                      <w:szCs w:val="21"/>
                    </w:rPr>
                  </w:pPr>
                  <w:r>
                    <w:rPr>
                      <w:rFonts w:ascii="TimesNewRomanPSMT" w:hAnsi="Calibri" w:eastAsia="TimesNewRomanPSMT" w:cs="TimesNewRomanPSMT"/>
                      <w:color w:val="000000"/>
                      <w:kern w:val="0"/>
                      <w:szCs w:val="21"/>
                    </w:rPr>
                    <w:t>1.</w:t>
                  </w:r>
                  <w:r>
                    <w:rPr>
                      <w:rFonts w:hint="eastAsia" w:ascii="TimesNewRomanPSMT" w:hAnsi="Calibri" w:eastAsia="TimesNewRomanPSMT" w:cs="TimesNewRomanPSMT"/>
                      <w:color w:val="000000"/>
                      <w:kern w:val="0"/>
                      <w:szCs w:val="21"/>
                    </w:rPr>
                    <w:t>0</w:t>
                  </w:r>
                  <w:r>
                    <w:rPr>
                      <w:rFonts w:ascii="TimesNewRomanPSMT" w:hAnsi="Calibri" w:eastAsia="TimesNewRomanPSMT" w:cs="TimesNewRomanPSMT"/>
                      <w:color w:val="000000"/>
                      <w:kern w:val="0"/>
                      <w:szCs w:val="21"/>
                    </w:rPr>
                    <w:t>mg</w:t>
                  </w:r>
                </w:p>
              </w:tc>
              <w:tc>
                <w:tcPr>
                  <w:tcW w:w="1183" w:type="dxa"/>
                  <w:vAlign w:val="center"/>
                </w:tcPr>
                <w:p>
                  <w:pPr>
                    <w:jc w:val="center"/>
                    <w:rPr>
                      <w:rFonts w:ascii="TimesNewRomanPSMT" w:eastAsia="TimesNewRomanPSMT" w:cs="TimesNewRomanPSMT"/>
                      <w:color w:val="000000"/>
                      <w:kern w:val="0"/>
                      <w:szCs w:val="21"/>
                    </w:rPr>
                  </w:pPr>
                  <w:r>
                    <w:rPr>
                      <w:rFonts w:ascii="TimesNewRomanPSMT" w:hAnsi="Calibri" w:eastAsia="TimesNewRomanPSMT" w:cs="TimesNewRomanPSMT"/>
                      <w:color w:val="000000"/>
                      <w:kern w:val="0"/>
                      <w:szCs w:val="21"/>
                    </w:rPr>
                    <w:t>4mg</w:t>
                  </w:r>
                </w:p>
              </w:tc>
              <w:tc>
                <w:tcPr>
                  <w:tcW w:w="1233" w:type="dxa"/>
                  <w:vAlign w:val="center"/>
                </w:tcPr>
                <w:p>
                  <w:pPr>
                    <w:jc w:val="center"/>
                    <w:rPr>
                      <w:rFonts w:ascii="TimesNewRomanPSMT" w:eastAsia="TimesNewRomanPSMT" w:cs="TimesNewRomanPSMT"/>
                      <w:color w:val="000000"/>
                      <w:kern w:val="0"/>
                      <w:szCs w:val="21"/>
                    </w:rPr>
                  </w:pPr>
                  <w:r>
                    <w:rPr>
                      <w:rFonts w:hint="eastAsia" w:ascii="TimesNewRomanPSMT" w:hAnsi="Calibri" w:eastAsia="TimesNewRomanPSMT" w:cs="TimesNewRomanPSMT"/>
                      <w:color w:val="000000"/>
                      <w:kern w:val="0"/>
                      <w:szCs w:val="21"/>
                    </w:rPr>
                    <w:t>25</w:t>
                  </w:r>
                </w:p>
              </w:tc>
              <w:tc>
                <w:tcPr>
                  <w:tcW w:w="1221" w:type="dxa"/>
                  <w:vAlign w:val="center"/>
                </w:tcPr>
                <w:p>
                  <w:pPr>
                    <w:jc w:val="center"/>
                    <w:rPr>
                      <w:color w:val="000000"/>
                      <w:szCs w:val="21"/>
                    </w:rPr>
                  </w:pPr>
                  <w:r>
                    <w:rPr>
                      <w:rFonts w:hint="eastAsia" w:ascii="宋体" w:hAnsi="Calibri" w:cs="宋体"/>
                      <w:color w:val="000000"/>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96" w:type="dxa"/>
                  <w:vAlign w:val="center"/>
                </w:tcPr>
                <w:p>
                  <w:pPr>
                    <w:jc w:val="center"/>
                    <w:rPr>
                      <w:color w:val="000000"/>
                      <w:szCs w:val="21"/>
                    </w:rPr>
                  </w:pPr>
                  <w:r>
                    <w:rPr>
                      <w:color w:val="000000"/>
                      <w:szCs w:val="21"/>
                    </w:rPr>
                    <w:t>O</w:t>
                  </w:r>
                  <w:r>
                    <w:rPr>
                      <w:color w:val="000000"/>
                      <w:szCs w:val="21"/>
                      <w:vertAlign w:val="subscript"/>
                    </w:rPr>
                    <w:t>3</w:t>
                  </w:r>
                </w:p>
              </w:tc>
              <w:tc>
                <w:tcPr>
                  <w:tcW w:w="2801" w:type="dxa"/>
                  <w:vAlign w:val="center"/>
                </w:tcPr>
                <w:p>
                  <w:pPr>
                    <w:jc w:val="center"/>
                    <w:rPr>
                      <w:color w:val="000000"/>
                      <w:szCs w:val="21"/>
                    </w:rPr>
                  </w:pPr>
                  <w:r>
                    <w:rPr>
                      <w:color w:val="000000"/>
                      <w:szCs w:val="21"/>
                    </w:rPr>
                    <w:t>日最大8小时滑动平均值的第90分位数</w:t>
                  </w:r>
                </w:p>
              </w:tc>
              <w:tc>
                <w:tcPr>
                  <w:tcW w:w="1220" w:type="dxa"/>
                  <w:vAlign w:val="center"/>
                </w:tcPr>
                <w:p>
                  <w:pPr>
                    <w:jc w:val="center"/>
                    <w:rPr>
                      <w:rFonts w:ascii="TimesNewRomanPSMT" w:cs="TimesNewRomanPSMT"/>
                      <w:color w:val="000000"/>
                      <w:kern w:val="0"/>
                      <w:szCs w:val="21"/>
                    </w:rPr>
                  </w:pPr>
                  <w:r>
                    <w:rPr>
                      <w:rFonts w:ascii="TimesNewRomanPSMT" w:hAnsi="Calibri" w:eastAsia="TimesNewRomanPSMT" w:cs="TimesNewRomanPSMT"/>
                      <w:color w:val="000000"/>
                      <w:kern w:val="0"/>
                      <w:szCs w:val="21"/>
                    </w:rPr>
                    <w:t>1</w:t>
                  </w:r>
                  <w:r>
                    <w:rPr>
                      <w:rFonts w:hint="eastAsia" w:ascii="TimesNewRomanPSMT" w:hAnsi="Calibri" w:eastAsia="TimesNewRomanPSMT" w:cs="TimesNewRomanPSMT"/>
                      <w:color w:val="000000"/>
                      <w:kern w:val="0"/>
                      <w:szCs w:val="21"/>
                    </w:rPr>
                    <w:t>7</w:t>
                  </w:r>
                  <w:r>
                    <w:rPr>
                      <w:rFonts w:hint="eastAsia" w:ascii="TimesNewRomanPSMT" w:hAnsi="Calibri" w:cs="TimesNewRomanPSMT"/>
                      <w:color w:val="000000"/>
                      <w:kern w:val="0"/>
                      <w:szCs w:val="21"/>
                    </w:rPr>
                    <w:t>2</w:t>
                  </w:r>
                </w:p>
              </w:tc>
              <w:tc>
                <w:tcPr>
                  <w:tcW w:w="1183" w:type="dxa"/>
                  <w:vAlign w:val="center"/>
                </w:tcPr>
                <w:p>
                  <w:pPr>
                    <w:jc w:val="center"/>
                    <w:rPr>
                      <w:rFonts w:ascii="TimesNewRomanPSMT" w:eastAsia="TimesNewRomanPSMT" w:cs="TimesNewRomanPSMT"/>
                      <w:color w:val="000000"/>
                      <w:kern w:val="0"/>
                      <w:szCs w:val="21"/>
                    </w:rPr>
                  </w:pPr>
                  <w:r>
                    <w:rPr>
                      <w:rFonts w:ascii="TimesNewRomanPSMT" w:hAnsi="Calibri" w:eastAsia="TimesNewRomanPSMT" w:cs="TimesNewRomanPSMT"/>
                      <w:color w:val="000000"/>
                      <w:kern w:val="0"/>
                      <w:szCs w:val="21"/>
                    </w:rPr>
                    <w:t>160</w:t>
                  </w:r>
                </w:p>
              </w:tc>
              <w:tc>
                <w:tcPr>
                  <w:tcW w:w="1233" w:type="dxa"/>
                  <w:vAlign w:val="center"/>
                </w:tcPr>
                <w:p>
                  <w:pPr>
                    <w:jc w:val="center"/>
                    <w:rPr>
                      <w:rFonts w:ascii="TimesNewRomanPSMT" w:cs="TimesNewRomanPSMT"/>
                      <w:color w:val="000000"/>
                      <w:kern w:val="0"/>
                      <w:szCs w:val="21"/>
                    </w:rPr>
                  </w:pPr>
                  <w:r>
                    <w:rPr>
                      <w:rFonts w:hint="eastAsia" w:ascii="TimesNewRomanPSMT" w:hAnsi="Calibri" w:cs="TimesNewRomanPSMT"/>
                      <w:color w:val="000000"/>
                      <w:kern w:val="0"/>
                      <w:szCs w:val="21"/>
                    </w:rPr>
                    <w:t>107.5</w:t>
                  </w:r>
                </w:p>
              </w:tc>
              <w:tc>
                <w:tcPr>
                  <w:tcW w:w="1221" w:type="dxa"/>
                  <w:vAlign w:val="center"/>
                </w:tcPr>
                <w:p>
                  <w:pPr>
                    <w:jc w:val="center"/>
                    <w:rPr>
                      <w:color w:val="000000"/>
                      <w:szCs w:val="21"/>
                    </w:rPr>
                  </w:pPr>
                  <w:r>
                    <w:rPr>
                      <w:rFonts w:hint="eastAsia" w:ascii="宋体" w:hAnsi="Calibri" w:cs="宋体"/>
                      <w:color w:val="000000"/>
                      <w:kern w:val="0"/>
                      <w:szCs w:val="21"/>
                    </w:rPr>
                    <w:t>超标</w:t>
                  </w:r>
                </w:p>
              </w:tc>
            </w:tr>
          </w:tbl>
          <w:p>
            <w:pPr>
              <w:spacing w:line="360" w:lineRule="auto"/>
              <w:ind w:firstLine="480" w:firstLineChars="200"/>
              <w:rPr>
                <w:color w:val="000000"/>
                <w:sz w:val="24"/>
              </w:rPr>
            </w:pPr>
            <w:r>
              <w:rPr>
                <w:rFonts w:hint="eastAsia"/>
                <w:color w:val="000000"/>
                <w:sz w:val="24"/>
              </w:rPr>
              <w:t>由上表可知，苏州高新区域环境空气中PM</w:t>
            </w:r>
            <w:r>
              <w:rPr>
                <w:rFonts w:hint="eastAsia"/>
                <w:color w:val="000000"/>
                <w:sz w:val="24"/>
                <w:vertAlign w:val="subscript"/>
              </w:rPr>
              <w:t>2.5、</w:t>
            </w:r>
            <w:r>
              <w:rPr>
                <w:rFonts w:hint="eastAsia"/>
                <w:color w:val="000000"/>
                <w:sz w:val="24"/>
              </w:rPr>
              <w:t>SO</w:t>
            </w:r>
            <w:r>
              <w:rPr>
                <w:rFonts w:hint="eastAsia"/>
                <w:color w:val="000000"/>
                <w:sz w:val="24"/>
                <w:vertAlign w:val="subscript"/>
              </w:rPr>
              <w:t>2</w:t>
            </w:r>
            <w:r>
              <w:rPr>
                <w:rFonts w:hint="eastAsia"/>
                <w:color w:val="000000"/>
                <w:sz w:val="24"/>
              </w:rPr>
              <w:t>、NO</w:t>
            </w:r>
            <w:r>
              <w:rPr>
                <w:rFonts w:hint="eastAsia"/>
                <w:color w:val="000000"/>
                <w:sz w:val="24"/>
                <w:vertAlign w:val="subscript"/>
              </w:rPr>
              <w:t>2</w:t>
            </w:r>
            <w:r>
              <w:rPr>
                <w:rFonts w:hint="eastAsia"/>
                <w:color w:val="000000"/>
                <w:sz w:val="24"/>
              </w:rPr>
              <w:t>、PM</w:t>
            </w:r>
            <w:r>
              <w:rPr>
                <w:rFonts w:hint="eastAsia"/>
                <w:color w:val="000000"/>
                <w:sz w:val="24"/>
                <w:vertAlign w:val="subscript"/>
              </w:rPr>
              <w:t>10</w:t>
            </w:r>
            <w:r>
              <w:rPr>
                <w:rFonts w:hint="eastAsia"/>
                <w:color w:val="000000"/>
                <w:sz w:val="24"/>
              </w:rPr>
              <w:t>和CO日平均第95百分位数浓度达到《环境空气质量标准》(GB3095—2012)二级标准。O</w:t>
            </w:r>
            <w:r>
              <w:rPr>
                <w:rFonts w:hint="eastAsia"/>
                <w:color w:val="000000"/>
                <w:sz w:val="24"/>
                <w:vertAlign w:val="subscript"/>
              </w:rPr>
              <w:t>3</w:t>
            </w:r>
            <w:r>
              <w:rPr>
                <w:rFonts w:hint="eastAsia"/>
                <w:color w:val="000000"/>
                <w:sz w:val="24"/>
              </w:rPr>
              <w:t>日最大8小时平均第90百分位数浓度超过《环境空气质量标准》(GB3095—2012)二级标准。因此，项目所在区域属于不达标区。</w:t>
            </w:r>
          </w:p>
          <w:p>
            <w:pPr>
              <w:spacing w:line="360" w:lineRule="auto"/>
              <w:ind w:firstLine="480" w:firstLineChars="200"/>
              <w:rPr>
                <w:color w:val="000000"/>
                <w:sz w:val="24"/>
              </w:rPr>
            </w:pPr>
            <w:r>
              <w:rPr>
                <w:color w:val="000000"/>
                <w:sz w:val="24"/>
              </w:rPr>
              <w:t>苏州市2019年制定了《苏州市空气质量改善达标规划（2019-2024 年）》，力争到2024 年，苏州市 PM2.5浓度达到 35μg/m³左右，O3浓度达到拐点，除O3以外的主要大气污染物 浓度达到国家二级标准要求，空气质量优良天数比率达到 80%，苏州市环境空气质量在 2024 年实现全面达标。</w:t>
            </w:r>
          </w:p>
          <w:p>
            <w:pPr>
              <w:pStyle w:val="7"/>
              <w:spacing w:line="360" w:lineRule="auto"/>
              <w:ind w:firstLine="480" w:firstLineChars="200"/>
              <w:rPr>
                <w:color w:val="000000"/>
                <w:kern w:val="0"/>
                <w:sz w:val="24"/>
              </w:rPr>
            </w:pPr>
            <w:r>
              <w:rPr>
                <w:color w:val="000000"/>
                <w:kern w:val="0"/>
                <w:sz w:val="24"/>
              </w:rPr>
              <w:t>（2）污染物环境质量现状</w:t>
            </w:r>
          </w:p>
          <w:p>
            <w:pPr>
              <w:spacing w:line="360" w:lineRule="auto"/>
              <w:ind w:firstLine="480" w:firstLineChars="200"/>
              <w:rPr>
                <w:color w:val="000000"/>
                <w:sz w:val="24"/>
              </w:rPr>
            </w:pPr>
            <w:r>
              <w:rPr>
                <w:rFonts w:hint="eastAsia"/>
                <w:color w:val="000000"/>
                <w:sz w:val="24"/>
              </w:rPr>
              <w:t>本项目排放的特征污染物为非甲烷总烃，国家、地方环境空气质量标准中尚 未发布非甲烷总烃的环境质量标准限值，因此，可以不开展现状监测。</w:t>
            </w:r>
          </w:p>
          <w:p>
            <w:pPr>
              <w:tabs>
                <w:tab w:val="left" w:pos="0"/>
              </w:tabs>
              <w:spacing w:line="360" w:lineRule="auto"/>
              <w:jc w:val="left"/>
              <w:rPr>
                <w:b/>
                <w:color w:val="000000"/>
                <w:sz w:val="24"/>
              </w:rPr>
            </w:pPr>
            <w:r>
              <w:rPr>
                <w:b/>
                <w:color w:val="000000"/>
                <w:sz w:val="24"/>
              </w:rPr>
              <w:t>3.1.2地表水环境质量现状</w:t>
            </w:r>
          </w:p>
          <w:p>
            <w:pPr>
              <w:adjustRightInd w:val="0"/>
              <w:snapToGrid w:val="0"/>
              <w:spacing w:line="360" w:lineRule="auto"/>
              <w:ind w:firstLine="480" w:firstLineChars="200"/>
              <w:jc w:val="left"/>
              <w:rPr>
                <w:color w:val="000000"/>
                <w:sz w:val="24"/>
                <w:szCs w:val="21"/>
              </w:rPr>
            </w:pPr>
            <w:r>
              <w:rPr>
                <w:rFonts w:hint="eastAsia"/>
                <w:color w:val="000000"/>
                <w:sz w:val="24"/>
                <w:szCs w:val="21"/>
              </w:rPr>
              <w:t xml:space="preserve">项目废水纳管排到科技城水质净化厂处理后，尾水排至浒光运河，按《江苏 </w:t>
            </w:r>
          </w:p>
          <w:p>
            <w:pPr>
              <w:adjustRightInd w:val="0"/>
              <w:snapToGrid w:val="0"/>
              <w:spacing w:line="360" w:lineRule="auto"/>
              <w:jc w:val="left"/>
              <w:rPr>
                <w:color w:val="000000"/>
                <w:sz w:val="24"/>
                <w:szCs w:val="21"/>
              </w:rPr>
            </w:pPr>
            <w:r>
              <w:rPr>
                <w:rFonts w:hint="eastAsia"/>
                <w:color w:val="000000"/>
                <w:sz w:val="24"/>
                <w:szCs w:val="21"/>
              </w:rPr>
              <w:t>省地表水（环境）功能区划（</w:t>
            </w:r>
            <w:r>
              <w:rPr>
                <w:color w:val="000000"/>
                <w:sz w:val="24"/>
                <w:szCs w:val="21"/>
              </w:rPr>
              <w:t>2021-2030</w:t>
            </w:r>
            <w:r>
              <w:rPr>
                <w:rFonts w:hint="eastAsia"/>
                <w:color w:val="000000"/>
                <w:sz w:val="24"/>
                <w:szCs w:val="21"/>
              </w:rPr>
              <w:t xml:space="preserve">）》的规定，浒光运河河段执行《地表水 </w:t>
            </w:r>
          </w:p>
          <w:p>
            <w:pPr>
              <w:adjustRightInd w:val="0"/>
              <w:snapToGrid w:val="0"/>
              <w:spacing w:line="360" w:lineRule="auto"/>
              <w:jc w:val="left"/>
              <w:rPr>
                <w:color w:val="000000"/>
                <w:sz w:val="24"/>
                <w:szCs w:val="21"/>
              </w:rPr>
            </w:pPr>
            <w:r>
              <w:rPr>
                <w:rFonts w:hint="eastAsia"/>
                <w:color w:val="000000"/>
                <w:sz w:val="24"/>
                <w:szCs w:val="21"/>
              </w:rPr>
              <w:t>环境质量标准》（</w:t>
            </w:r>
            <w:r>
              <w:rPr>
                <w:color w:val="000000"/>
                <w:sz w:val="24"/>
                <w:szCs w:val="21"/>
              </w:rPr>
              <w:t>GB3838-2002</w:t>
            </w:r>
            <w:r>
              <w:rPr>
                <w:rFonts w:hint="eastAsia"/>
                <w:color w:val="000000"/>
                <w:sz w:val="24"/>
                <w:szCs w:val="21"/>
              </w:rPr>
              <w:t>）</w:t>
            </w:r>
            <w:r>
              <w:rPr>
                <w:color w:val="000000"/>
                <w:sz w:val="24"/>
                <w:szCs w:val="21"/>
              </w:rPr>
              <w:t xml:space="preserve">III </w:t>
            </w:r>
            <w:r>
              <w:rPr>
                <w:rFonts w:hint="eastAsia"/>
                <w:color w:val="000000"/>
                <w:sz w:val="24"/>
                <w:szCs w:val="21"/>
              </w:rPr>
              <w:t xml:space="preserve">类水标准。 </w:t>
            </w:r>
          </w:p>
          <w:p>
            <w:pPr>
              <w:adjustRightInd w:val="0"/>
              <w:snapToGrid w:val="0"/>
              <w:spacing w:line="360" w:lineRule="auto"/>
              <w:ind w:firstLine="480" w:firstLineChars="200"/>
              <w:jc w:val="left"/>
              <w:rPr>
                <w:color w:val="000000"/>
                <w:sz w:val="24"/>
                <w:szCs w:val="21"/>
              </w:rPr>
            </w:pPr>
            <w:r>
              <w:rPr>
                <w:rFonts w:hint="eastAsia"/>
                <w:color w:val="000000"/>
                <w:sz w:val="24"/>
                <w:szCs w:val="21"/>
              </w:rPr>
              <w:t>根据《环境影响评价技术导则地表水环境》（</w:t>
            </w:r>
            <w:r>
              <w:rPr>
                <w:color w:val="000000"/>
                <w:sz w:val="24"/>
                <w:szCs w:val="21"/>
              </w:rPr>
              <w:t>HJ2.3-2018</w:t>
            </w:r>
            <w:r>
              <w:rPr>
                <w:rFonts w:hint="eastAsia"/>
                <w:color w:val="000000"/>
                <w:sz w:val="24"/>
                <w:szCs w:val="21"/>
              </w:rPr>
              <w:t xml:space="preserve">），本项目为地表水环境三级 </w:t>
            </w:r>
            <w:r>
              <w:rPr>
                <w:color w:val="000000"/>
                <w:sz w:val="24"/>
                <w:szCs w:val="21"/>
              </w:rPr>
              <w:t xml:space="preserve">B </w:t>
            </w:r>
            <w:r>
              <w:rPr>
                <w:rFonts w:hint="eastAsia"/>
                <w:color w:val="000000"/>
                <w:sz w:val="24"/>
                <w:szCs w:val="21"/>
              </w:rPr>
              <w:t>评价，应优先采用国务院生态环境保护主管部门统一发布的水环境状况信息。 基本污染物数据来源于《</w:t>
            </w:r>
            <w:r>
              <w:rPr>
                <w:color w:val="000000"/>
                <w:sz w:val="24"/>
                <w:szCs w:val="21"/>
              </w:rPr>
              <w:t xml:space="preserve">2022 </w:t>
            </w:r>
            <w:r>
              <w:rPr>
                <w:rFonts w:hint="eastAsia"/>
                <w:color w:val="000000"/>
                <w:sz w:val="24"/>
                <w:szCs w:val="21"/>
              </w:rPr>
              <w:t>年度苏州高新区环境质量公报》：</w:t>
            </w:r>
            <w:r>
              <w:rPr>
                <w:color w:val="000000"/>
                <w:sz w:val="24"/>
                <w:szCs w:val="21"/>
              </w:rPr>
              <w:t xml:space="preserve">2 </w:t>
            </w:r>
            <w:r>
              <w:rPr>
                <w:rFonts w:hint="eastAsia"/>
                <w:color w:val="000000"/>
                <w:sz w:val="24"/>
                <w:szCs w:val="21"/>
              </w:rPr>
              <w:t>个集中式饮用水水源地水质均属安全饮用水，省级断面考核达标率为</w:t>
            </w:r>
            <w:r>
              <w:rPr>
                <w:color w:val="000000"/>
                <w:sz w:val="24"/>
                <w:szCs w:val="21"/>
              </w:rPr>
              <w:t>100%</w:t>
            </w:r>
            <w:r>
              <w:rPr>
                <w:rFonts w:hint="eastAsia"/>
                <w:color w:val="000000"/>
                <w:sz w:val="24"/>
                <w:szCs w:val="21"/>
              </w:rPr>
              <w:t xml:space="preserve">，重点河流水环境质量基本稳定。 </w:t>
            </w:r>
          </w:p>
          <w:p>
            <w:pPr>
              <w:adjustRightInd w:val="0"/>
              <w:snapToGrid w:val="0"/>
              <w:spacing w:line="360" w:lineRule="auto"/>
              <w:ind w:firstLine="480" w:firstLineChars="200"/>
              <w:jc w:val="left"/>
              <w:rPr>
                <w:color w:val="000000"/>
                <w:sz w:val="24"/>
                <w:szCs w:val="21"/>
              </w:rPr>
            </w:pPr>
            <w:r>
              <w:rPr>
                <w:rFonts w:hint="eastAsia"/>
                <w:color w:val="000000"/>
                <w:sz w:val="24"/>
                <w:szCs w:val="21"/>
              </w:rPr>
              <w:t xml:space="preserve">（一）集中式饮用水源地 </w:t>
            </w:r>
          </w:p>
          <w:p>
            <w:pPr>
              <w:adjustRightInd w:val="0"/>
              <w:snapToGrid w:val="0"/>
              <w:spacing w:line="360" w:lineRule="auto"/>
              <w:ind w:firstLine="480" w:firstLineChars="200"/>
              <w:jc w:val="left"/>
              <w:rPr>
                <w:color w:val="000000"/>
                <w:sz w:val="24"/>
                <w:szCs w:val="21"/>
              </w:rPr>
            </w:pPr>
            <w:r>
              <w:rPr>
                <w:rFonts w:hint="eastAsia"/>
                <w:color w:val="000000"/>
                <w:sz w:val="24"/>
                <w:szCs w:val="21"/>
              </w:rPr>
              <w:t xml:space="preserve">上山村饮用水源地水质达标率为 </w:t>
            </w:r>
            <w:r>
              <w:rPr>
                <w:color w:val="000000"/>
                <w:sz w:val="24"/>
                <w:szCs w:val="21"/>
              </w:rPr>
              <w:t>100%</w:t>
            </w:r>
            <w:r>
              <w:rPr>
                <w:rFonts w:hint="eastAsia"/>
                <w:color w:val="000000"/>
                <w:sz w:val="24"/>
                <w:szCs w:val="21"/>
              </w:rPr>
              <w:t>；金墅港饮用水源地水质达标率</w:t>
            </w:r>
            <w:r>
              <w:rPr>
                <w:color w:val="000000"/>
                <w:sz w:val="24"/>
                <w:szCs w:val="21"/>
              </w:rPr>
              <w:t>100%</w:t>
            </w:r>
            <w:r>
              <w:rPr>
                <w:rFonts w:hint="eastAsia"/>
                <w:color w:val="000000"/>
                <w:sz w:val="24"/>
                <w:szCs w:val="21"/>
              </w:rPr>
              <w:t xml:space="preserve">。 </w:t>
            </w:r>
          </w:p>
          <w:p>
            <w:pPr>
              <w:adjustRightInd w:val="0"/>
              <w:snapToGrid w:val="0"/>
              <w:spacing w:line="360" w:lineRule="auto"/>
              <w:ind w:firstLine="480" w:firstLineChars="200"/>
              <w:jc w:val="left"/>
              <w:rPr>
                <w:color w:val="000000"/>
                <w:sz w:val="24"/>
                <w:szCs w:val="21"/>
              </w:rPr>
            </w:pPr>
            <w:r>
              <w:rPr>
                <w:rFonts w:hint="eastAsia"/>
                <w:color w:val="000000"/>
                <w:sz w:val="24"/>
                <w:szCs w:val="21"/>
              </w:rPr>
              <w:t>（二）省级考核断面</w:t>
            </w:r>
          </w:p>
          <w:p>
            <w:pPr>
              <w:adjustRightInd w:val="0"/>
              <w:snapToGrid w:val="0"/>
              <w:spacing w:line="360" w:lineRule="auto"/>
              <w:ind w:firstLine="480" w:firstLineChars="200"/>
              <w:jc w:val="left"/>
              <w:rPr>
                <w:color w:val="000000"/>
                <w:sz w:val="24"/>
                <w:szCs w:val="21"/>
              </w:rPr>
            </w:pPr>
            <w:r>
              <w:rPr>
                <w:rFonts w:hint="eastAsia"/>
                <w:color w:val="000000"/>
                <w:sz w:val="24"/>
                <w:szCs w:val="21"/>
              </w:rPr>
              <w:t>省级考核断面京杭运河轻化仓库断面、金墅港太湖桥断面年度水质达标</w:t>
            </w:r>
            <w:r>
              <w:rPr>
                <w:color w:val="000000"/>
                <w:sz w:val="24"/>
                <w:szCs w:val="21"/>
              </w:rPr>
              <w:t>100%</w:t>
            </w:r>
            <w:r>
              <w:rPr>
                <w:rFonts w:hint="eastAsia"/>
                <w:color w:val="000000"/>
                <w:sz w:val="24"/>
                <w:szCs w:val="21"/>
              </w:rPr>
              <w:t xml:space="preserve">，年均水质符合Ⅲ类。 </w:t>
            </w:r>
          </w:p>
          <w:p>
            <w:pPr>
              <w:adjustRightInd w:val="0"/>
              <w:snapToGrid w:val="0"/>
              <w:spacing w:line="360" w:lineRule="auto"/>
              <w:ind w:firstLine="480" w:firstLineChars="200"/>
              <w:jc w:val="left"/>
              <w:rPr>
                <w:color w:val="000000"/>
                <w:sz w:val="24"/>
                <w:szCs w:val="21"/>
              </w:rPr>
            </w:pPr>
            <w:r>
              <w:rPr>
                <w:rFonts w:hint="eastAsia"/>
                <w:color w:val="000000"/>
                <w:sz w:val="24"/>
                <w:szCs w:val="21"/>
              </w:rPr>
              <w:t xml:space="preserve">（三）主要河流水质 </w:t>
            </w:r>
          </w:p>
          <w:p>
            <w:pPr>
              <w:adjustRightInd w:val="0"/>
              <w:snapToGrid w:val="0"/>
              <w:spacing w:line="360" w:lineRule="auto"/>
              <w:ind w:firstLine="480" w:firstLineChars="200"/>
              <w:jc w:val="left"/>
              <w:rPr>
                <w:color w:val="000000"/>
                <w:sz w:val="24"/>
                <w:szCs w:val="21"/>
              </w:rPr>
            </w:pPr>
            <w:r>
              <w:rPr>
                <w:rFonts w:hint="eastAsia"/>
                <w:color w:val="000000"/>
                <w:sz w:val="24"/>
                <w:szCs w:val="21"/>
              </w:rPr>
              <w:t>京杭运河（高新区段）：</w:t>
            </w:r>
            <w:r>
              <w:rPr>
                <w:color w:val="000000"/>
                <w:sz w:val="24"/>
                <w:szCs w:val="21"/>
              </w:rPr>
              <w:t xml:space="preserve">2020 </w:t>
            </w:r>
            <w:r>
              <w:rPr>
                <w:rFonts w:hint="eastAsia"/>
                <w:color w:val="000000"/>
                <w:sz w:val="24"/>
                <w:szCs w:val="21"/>
              </w:rPr>
              <w:t xml:space="preserve">年水质目标Ⅳ类，年均水质Ⅳ类，达到水质目 </w:t>
            </w:r>
          </w:p>
          <w:p>
            <w:pPr>
              <w:adjustRightInd w:val="0"/>
              <w:snapToGrid w:val="0"/>
              <w:spacing w:line="360" w:lineRule="auto"/>
              <w:jc w:val="left"/>
              <w:rPr>
                <w:color w:val="000000"/>
                <w:sz w:val="24"/>
                <w:szCs w:val="21"/>
              </w:rPr>
            </w:pPr>
            <w:r>
              <w:rPr>
                <w:rFonts w:hint="eastAsia"/>
                <w:color w:val="000000"/>
                <w:sz w:val="24"/>
                <w:szCs w:val="21"/>
              </w:rPr>
              <w:t>标，总体水质基本稳定。胥江（横塘段）：</w:t>
            </w:r>
            <w:r>
              <w:rPr>
                <w:color w:val="000000"/>
                <w:sz w:val="24"/>
                <w:szCs w:val="21"/>
              </w:rPr>
              <w:t xml:space="preserve">2020 </w:t>
            </w:r>
            <w:r>
              <w:rPr>
                <w:rFonts w:hint="eastAsia"/>
                <w:color w:val="000000"/>
                <w:sz w:val="24"/>
                <w:szCs w:val="21"/>
              </w:rPr>
              <w:t xml:space="preserve">年水质目标Ⅲ类，年均水质Ⅴ类， </w:t>
            </w:r>
          </w:p>
          <w:p>
            <w:pPr>
              <w:adjustRightInd w:val="0"/>
              <w:snapToGrid w:val="0"/>
              <w:spacing w:line="360" w:lineRule="auto"/>
              <w:jc w:val="left"/>
              <w:rPr>
                <w:color w:val="000000"/>
                <w:sz w:val="24"/>
                <w:szCs w:val="21"/>
              </w:rPr>
            </w:pPr>
            <w:r>
              <w:rPr>
                <w:rFonts w:hint="eastAsia"/>
                <w:color w:val="000000"/>
                <w:sz w:val="24"/>
                <w:szCs w:val="21"/>
              </w:rPr>
              <w:t>未达到水质目标，总体水质基本稳定。浒光运河：</w:t>
            </w:r>
            <w:r>
              <w:rPr>
                <w:color w:val="000000"/>
                <w:sz w:val="24"/>
                <w:szCs w:val="21"/>
              </w:rPr>
              <w:t xml:space="preserve">2020 </w:t>
            </w:r>
            <w:r>
              <w:rPr>
                <w:rFonts w:hint="eastAsia"/>
                <w:color w:val="000000"/>
                <w:sz w:val="24"/>
                <w:szCs w:val="21"/>
              </w:rPr>
              <w:t xml:space="preserve">年水质目标Ⅲ类，年均水 </w:t>
            </w:r>
          </w:p>
          <w:p>
            <w:pPr>
              <w:adjustRightInd w:val="0"/>
              <w:snapToGrid w:val="0"/>
              <w:spacing w:line="360" w:lineRule="auto"/>
              <w:jc w:val="left"/>
              <w:rPr>
                <w:color w:val="000000"/>
                <w:sz w:val="24"/>
                <w:szCs w:val="21"/>
              </w:rPr>
            </w:pPr>
            <w:r>
              <w:rPr>
                <w:rFonts w:hint="eastAsia"/>
                <w:color w:val="000000"/>
                <w:sz w:val="24"/>
                <w:szCs w:val="21"/>
              </w:rPr>
              <w:t>质Ⅳ类，未达到水质目标，总体水质基本稳定。金墅港：</w:t>
            </w:r>
            <w:r>
              <w:rPr>
                <w:color w:val="000000"/>
                <w:sz w:val="24"/>
                <w:szCs w:val="21"/>
              </w:rPr>
              <w:t xml:space="preserve">2020 </w:t>
            </w:r>
            <w:r>
              <w:rPr>
                <w:rFonts w:hint="eastAsia"/>
                <w:color w:val="000000"/>
                <w:sz w:val="24"/>
                <w:szCs w:val="21"/>
              </w:rPr>
              <w:t>年水质目标Ⅳ类，年均水质Ⅲ类，优于水质目标，总体水质基本稳定</w:t>
            </w:r>
            <w:r>
              <w:rPr>
                <w:color w:val="000000"/>
                <w:sz w:val="24"/>
                <w:szCs w:val="21"/>
              </w:rPr>
              <w:t>。</w:t>
            </w:r>
          </w:p>
          <w:p>
            <w:pPr>
              <w:tabs>
                <w:tab w:val="left" w:pos="0"/>
              </w:tabs>
              <w:spacing w:line="360" w:lineRule="auto"/>
              <w:rPr>
                <w:b/>
                <w:color w:val="000000"/>
                <w:sz w:val="24"/>
              </w:rPr>
            </w:pPr>
            <w:r>
              <w:rPr>
                <w:b/>
                <w:color w:val="000000"/>
                <w:sz w:val="24"/>
              </w:rPr>
              <w:t>3.1.3噪声环境质量现状</w:t>
            </w:r>
          </w:p>
          <w:p>
            <w:pPr>
              <w:adjustRightInd w:val="0"/>
              <w:snapToGrid w:val="0"/>
              <w:spacing w:line="360" w:lineRule="auto"/>
              <w:ind w:firstLine="480" w:firstLineChars="200"/>
              <w:jc w:val="left"/>
              <w:rPr>
                <w:color w:val="000000"/>
                <w:sz w:val="24"/>
                <w:szCs w:val="21"/>
              </w:rPr>
            </w:pPr>
            <w:r>
              <w:rPr>
                <w:color w:val="000000"/>
                <w:sz w:val="24"/>
                <w:szCs w:val="21"/>
              </w:rPr>
              <w:t>本项目位于苏州高新区</w:t>
            </w:r>
            <w:r>
              <w:rPr>
                <w:rFonts w:hint="eastAsia"/>
                <w:color w:val="000000"/>
                <w:sz w:val="24"/>
                <w:szCs w:val="21"/>
              </w:rPr>
              <w:t>东渚街道金沙江路158号</w:t>
            </w:r>
            <w:r>
              <w:rPr>
                <w:color w:val="000000"/>
                <w:sz w:val="24"/>
                <w:szCs w:val="21"/>
              </w:rPr>
              <w:t>，本次评价委托</w:t>
            </w:r>
            <w:r>
              <w:rPr>
                <w:rFonts w:hint="eastAsia"/>
                <w:color w:val="000000"/>
                <w:sz w:val="24"/>
                <w:szCs w:val="21"/>
              </w:rPr>
              <w:t>江苏创盛环境监测技术有限公司</w:t>
            </w:r>
            <w:r>
              <w:rPr>
                <w:color w:val="000000"/>
                <w:sz w:val="24"/>
                <w:szCs w:val="21"/>
              </w:rPr>
              <w:t>于202</w:t>
            </w:r>
            <w:r>
              <w:rPr>
                <w:rFonts w:hint="eastAsia"/>
                <w:color w:val="000000"/>
                <w:sz w:val="24"/>
                <w:szCs w:val="21"/>
              </w:rPr>
              <w:t>3</w:t>
            </w:r>
            <w:r>
              <w:rPr>
                <w:color w:val="000000"/>
                <w:sz w:val="24"/>
                <w:szCs w:val="21"/>
              </w:rPr>
              <w:t>年</w:t>
            </w:r>
            <w:r>
              <w:rPr>
                <w:rFonts w:hint="eastAsia"/>
                <w:color w:val="000000"/>
                <w:sz w:val="24"/>
                <w:szCs w:val="21"/>
              </w:rPr>
              <w:t>10</w:t>
            </w:r>
            <w:r>
              <w:rPr>
                <w:color w:val="000000"/>
                <w:sz w:val="24"/>
                <w:szCs w:val="21"/>
              </w:rPr>
              <w:t>月2</w:t>
            </w:r>
            <w:r>
              <w:rPr>
                <w:rFonts w:hint="eastAsia"/>
                <w:color w:val="000000"/>
                <w:sz w:val="24"/>
                <w:szCs w:val="21"/>
              </w:rPr>
              <w:t>5</w:t>
            </w:r>
            <w:r>
              <w:rPr>
                <w:color w:val="000000"/>
                <w:sz w:val="24"/>
                <w:szCs w:val="21"/>
              </w:rPr>
              <w:t>日对项目地厂界四周1m处共布设4个监测点，进行声环境质量现状监测。</w:t>
            </w:r>
          </w:p>
          <w:p>
            <w:pPr>
              <w:spacing w:before="60"/>
              <w:jc w:val="center"/>
              <w:rPr>
                <w:b/>
                <w:color w:val="000000"/>
                <w:sz w:val="24"/>
              </w:rPr>
            </w:pPr>
            <w:r>
              <w:rPr>
                <w:b/>
                <w:color w:val="000000"/>
                <w:sz w:val="24"/>
              </w:rPr>
              <w:t>表3-5  噪声现状监测结果及评价</w:t>
            </w:r>
          </w:p>
          <w:tbl>
            <w:tblPr>
              <w:tblStyle w:val="20"/>
              <w:tblW w:w="82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82"/>
              <w:gridCol w:w="2000"/>
              <w:gridCol w:w="1270"/>
              <w:gridCol w:w="1274"/>
              <w:gridCol w:w="1271"/>
              <w:gridCol w:w="12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3184" w:type="dxa"/>
                  <w:gridSpan w:val="2"/>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昼间噪声测试日期及气象条件</w:t>
                  </w:r>
                </w:p>
              </w:tc>
              <w:tc>
                <w:tcPr>
                  <w:tcW w:w="5095" w:type="dxa"/>
                  <w:gridSpan w:val="4"/>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202</w:t>
                  </w:r>
                  <w:r>
                    <w:rPr>
                      <w:rFonts w:hint="eastAsia"/>
                      <w:color w:val="000000"/>
                      <w:spacing w:val="4"/>
                      <w:szCs w:val="21"/>
                    </w:rPr>
                    <w:t>3</w:t>
                  </w:r>
                  <w:r>
                    <w:rPr>
                      <w:color w:val="000000"/>
                      <w:spacing w:val="4"/>
                      <w:szCs w:val="21"/>
                    </w:rPr>
                    <w:t>年</w:t>
                  </w:r>
                  <w:r>
                    <w:rPr>
                      <w:rFonts w:hint="eastAsia"/>
                      <w:color w:val="000000"/>
                      <w:spacing w:val="4"/>
                      <w:szCs w:val="21"/>
                    </w:rPr>
                    <w:t>10</w:t>
                  </w:r>
                  <w:r>
                    <w:rPr>
                      <w:color w:val="000000"/>
                      <w:spacing w:val="4"/>
                      <w:szCs w:val="21"/>
                    </w:rPr>
                    <w:t>月2</w:t>
                  </w:r>
                  <w:r>
                    <w:rPr>
                      <w:rFonts w:hint="eastAsia"/>
                      <w:color w:val="000000"/>
                      <w:spacing w:val="4"/>
                      <w:szCs w:val="21"/>
                    </w:rPr>
                    <w:t>5</w:t>
                  </w:r>
                  <w:r>
                    <w:rPr>
                      <w:color w:val="000000"/>
                      <w:spacing w:val="4"/>
                      <w:szCs w:val="21"/>
                    </w:rPr>
                    <w:t>日 晴 最大风速：</w:t>
                  </w:r>
                  <w:r>
                    <w:rPr>
                      <w:rFonts w:hint="eastAsia"/>
                      <w:color w:val="000000"/>
                      <w:spacing w:val="4"/>
                      <w:szCs w:val="21"/>
                    </w:rPr>
                    <w:t>2.3</w:t>
                  </w:r>
                  <w:r>
                    <w:rPr>
                      <w:color w:val="000000"/>
                      <w:spacing w:val="4"/>
                      <w:szCs w:val="21"/>
                    </w:rPr>
                    <w:t xml:space="preserve"> m/s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3184" w:type="dxa"/>
                  <w:gridSpan w:val="2"/>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夜间噪声测试日期及气象条件</w:t>
                  </w:r>
                </w:p>
              </w:tc>
              <w:tc>
                <w:tcPr>
                  <w:tcW w:w="5095" w:type="dxa"/>
                  <w:gridSpan w:val="4"/>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202</w:t>
                  </w:r>
                  <w:r>
                    <w:rPr>
                      <w:rFonts w:hint="eastAsia"/>
                      <w:color w:val="000000"/>
                      <w:spacing w:val="4"/>
                      <w:szCs w:val="21"/>
                    </w:rPr>
                    <w:t>3</w:t>
                  </w:r>
                  <w:r>
                    <w:rPr>
                      <w:color w:val="000000"/>
                      <w:spacing w:val="4"/>
                      <w:szCs w:val="21"/>
                    </w:rPr>
                    <w:t>年</w:t>
                  </w:r>
                  <w:r>
                    <w:rPr>
                      <w:rFonts w:hint="eastAsia"/>
                      <w:color w:val="000000"/>
                      <w:spacing w:val="4"/>
                      <w:szCs w:val="21"/>
                    </w:rPr>
                    <w:t>10</w:t>
                  </w:r>
                  <w:r>
                    <w:rPr>
                      <w:color w:val="000000"/>
                      <w:spacing w:val="4"/>
                      <w:szCs w:val="21"/>
                    </w:rPr>
                    <w:t>月2</w:t>
                  </w:r>
                  <w:r>
                    <w:rPr>
                      <w:rFonts w:hint="eastAsia"/>
                      <w:color w:val="000000"/>
                      <w:spacing w:val="4"/>
                      <w:szCs w:val="21"/>
                    </w:rPr>
                    <w:t>5</w:t>
                  </w:r>
                  <w:r>
                    <w:rPr>
                      <w:color w:val="000000"/>
                      <w:spacing w:val="4"/>
                      <w:szCs w:val="21"/>
                    </w:rPr>
                    <w:t>日 晴 最大风速：</w:t>
                  </w:r>
                  <w:r>
                    <w:rPr>
                      <w:rFonts w:hint="eastAsia"/>
                      <w:color w:val="000000"/>
                      <w:spacing w:val="4"/>
                      <w:szCs w:val="21"/>
                    </w:rPr>
                    <w:t>3.0</w:t>
                  </w:r>
                  <w:r>
                    <w:rPr>
                      <w:color w:val="000000"/>
                      <w:spacing w:val="4"/>
                      <w:szCs w:val="21"/>
                    </w:rPr>
                    <w:t xml:space="preserve"> m/s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183" w:type="dxa"/>
                  <w:vMerge w:val="restar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测点编号</w:t>
                  </w:r>
                </w:p>
              </w:tc>
              <w:tc>
                <w:tcPr>
                  <w:tcW w:w="2001" w:type="dxa"/>
                  <w:vMerge w:val="restar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监测位置</w:t>
                  </w:r>
                </w:p>
              </w:tc>
              <w:tc>
                <w:tcPr>
                  <w:tcW w:w="2546" w:type="dxa"/>
                  <w:gridSpan w:val="2"/>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昼间dB(A)</w:t>
                  </w:r>
                </w:p>
              </w:tc>
              <w:tc>
                <w:tcPr>
                  <w:tcW w:w="2549" w:type="dxa"/>
                  <w:gridSpan w:val="2"/>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夜间dB(A)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18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b/>
                      <w:bCs/>
                      <w:color w:val="000000"/>
                      <w:spacing w:val="4"/>
                      <w:szCs w:val="21"/>
                    </w:rPr>
                  </w:pPr>
                </w:p>
              </w:tc>
              <w:tc>
                <w:tcPr>
                  <w:tcW w:w="20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b/>
                      <w:bCs/>
                      <w:color w:val="000000"/>
                      <w:spacing w:val="4"/>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监测结果</w:t>
                  </w:r>
                </w:p>
              </w:tc>
              <w:tc>
                <w:tcPr>
                  <w:tcW w:w="127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标准限值</w:t>
                  </w:r>
                </w:p>
              </w:tc>
              <w:tc>
                <w:tcPr>
                  <w:tcW w:w="127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监测结果</w:t>
                  </w:r>
                </w:p>
              </w:tc>
              <w:tc>
                <w:tcPr>
                  <w:tcW w:w="1282"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bCs/>
                      <w:color w:val="000000"/>
                      <w:spacing w:val="4"/>
                      <w:szCs w:val="21"/>
                    </w:rPr>
                  </w:pPr>
                  <w:r>
                    <w:rPr>
                      <w:b/>
                      <w:bCs/>
                      <w:color w:val="000000"/>
                      <w:spacing w:val="4"/>
                      <w:szCs w:val="21"/>
                    </w:rPr>
                    <w:t>标准限值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183"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N1</w:t>
                  </w:r>
                </w:p>
              </w:tc>
              <w:tc>
                <w:tcPr>
                  <w:tcW w:w="200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北</w:t>
                  </w:r>
                  <w:r>
                    <w:rPr>
                      <w:color w:val="000000"/>
                      <w:spacing w:val="4"/>
                      <w:szCs w:val="21"/>
                    </w:rPr>
                    <w:t>厂界外1m</w:t>
                  </w:r>
                </w:p>
              </w:tc>
              <w:tc>
                <w:tcPr>
                  <w:tcW w:w="127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60.8</w:t>
                  </w:r>
                </w:p>
              </w:tc>
              <w:tc>
                <w:tcPr>
                  <w:tcW w:w="1275" w:type="dxa"/>
                  <w:vMerge w:val="restar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65</w:t>
                  </w:r>
                </w:p>
              </w:tc>
              <w:tc>
                <w:tcPr>
                  <w:tcW w:w="1267"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51.4</w:t>
                  </w:r>
                </w:p>
              </w:tc>
              <w:tc>
                <w:tcPr>
                  <w:tcW w:w="1282" w:type="dxa"/>
                  <w:vMerge w:val="restar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183"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N2</w:t>
                  </w:r>
                </w:p>
              </w:tc>
              <w:tc>
                <w:tcPr>
                  <w:tcW w:w="200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东</w:t>
                  </w:r>
                  <w:r>
                    <w:rPr>
                      <w:color w:val="000000"/>
                      <w:spacing w:val="4"/>
                      <w:szCs w:val="21"/>
                    </w:rPr>
                    <w:t>厂界外1m</w:t>
                  </w:r>
                </w:p>
              </w:tc>
              <w:tc>
                <w:tcPr>
                  <w:tcW w:w="127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58.4</w:t>
                  </w:r>
                </w:p>
              </w:tc>
              <w:tc>
                <w:tcPr>
                  <w:tcW w:w="1275" w:type="dxa"/>
                  <w:vMerge w:val="continue"/>
                  <w:tcBorders>
                    <w:left w:val="single" w:color="000000" w:sz="4" w:space="0"/>
                    <w:right w:val="single" w:color="000000" w:sz="4" w:space="0"/>
                  </w:tcBorders>
                  <w:vAlign w:val="center"/>
                </w:tcPr>
                <w:p>
                  <w:pPr>
                    <w:tabs>
                      <w:tab w:val="left" w:pos="0"/>
                    </w:tabs>
                    <w:adjustRightInd w:val="0"/>
                    <w:snapToGrid w:val="0"/>
                    <w:jc w:val="center"/>
                    <w:rPr>
                      <w:color w:val="000000"/>
                      <w:spacing w:val="4"/>
                      <w:szCs w:val="21"/>
                    </w:rPr>
                  </w:pPr>
                </w:p>
              </w:tc>
              <w:tc>
                <w:tcPr>
                  <w:tcW w:w="1267"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51.0</w:t>
                  </w:r>
                </w:p>
              </w:tc>
              <w:tc>
                <w:tcPr>
                  <w:tcW w:w="1282" w:type="dxa"/>
                  <w:vMerge w:val="continue"/>
                  <w:tcBorders>
                    <w:left w:val="single" w:color="000000" w:sz="4" w:space="0"/>
                    <w:right w:val="single" w:color="000000" w:sz="4" w:space="0"/>
                  </w:tcBorders>
                  <w:vAlign w:val="center"/>
                </w:tcPr>
                <w:p>
                  <w:pPr>
                    <w:tabs>
                      <w:tab w:val="left" w:pos="0"/>
                    </w:tabs>
                    <w:adjustRightInd w:val="0"/>
                    <w:snapToGrid w:val="0"/>
                    <w:jc w:val="center"/>
                    <w:rPr>
                      <w:color w:val="000000"/>
                      <w:spacing w:val="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183"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N3</w:t>
                  </w:r>
                </w:p>
              </w:tc>
              <w:tc>
                <w:tcPr>
                  <w:tcW w:w="200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南</w:t>
                  </w:r>
                  <w:r>
                    <w:rPr>
                      <w:color w:val="000000"/>
                      <w:spacing w:val="4"/>
                      <w:szCs w:val="21"/>
                    </w:rPr>
                    <w:t>厂界外1m</w:t>
                  </w:r>
                </w:p>
              </w:tc>
              <w:tc>
                <w:tcPr>
                  <w:tcW w:w="127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57.6</w:t>
                  </w:r>
                </w:p>
              </w:tc>
              <w:tc>
                <w:tcPr>
                  <w:tcW w:w="1275" w:type="dxa"/>
                  <w:vMerge w:val="continue"/>
                  <w:tcBorders>
                    <w:left w:val="single" w:color="000000" w:sz="4" w:space="0"/>
                    <w:right w:val="single" w:color="000000" w:sz="4" w:space="0"/>
                  </w:tcBorders>
                  <w:vAlign w:val="center"/>
                </w:tcPr>
                <w:p>
                  <w:pPr>
                    <w:tabs>
                      <w:tab w:val="left" w:pos="0"/>
                    </w:tabs>
                    <w:adjustRightInd w:val="0"/>
                    <w:snapToGrid w:val="0"/>
                    <w:jc w:val="center"/>
                    <w:rPr>
                      <w:color w:val="000000"/>
                      <w:spacing w:val="4"/>
                      <w:szCs w:val="21"/>
                    </w:rPr>
                  </w:pPr>
                </w:p>
              </w:tc>
              <w:tc>
                <w:tcPr>
                  <w:tcW w:w="1267"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48.8</w:t>
                  </w:r>
                </w:p>
              </w:tc>
              <w:tc>
                <w:tcPr>
                  <w:tcW w:w="1282" w:type="dxa"/>
                  <w:vMerge w:val="continue"/>
                  <w:tcBorders>
                    <w:left w:val="single" w:color="000000" w:sz="4" w:space="0"/>
                    <w:right w:val="single" w:color="000000" w:sz="4" w:space="0"/>
                  </w:tcBorders>
                  <w:vAlign w:val="center"/>
                </w:tcPr>
                <w:p>
                  <w:pPr>
                    <w:tabs>
                      <w:tab w:val="left" w:pos="0"/>
                    </w:tabs>
                    <w:adjustRightInd w:val="0"/>
                    <w:snapToGrid w:val="0"/>
                    <w:jc w:val="center"/>
                    <w:rPr>
                      <w:color w:val="000000"/>
                      <w:spacing w:val="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 w:hRule="atLeast"/>
                <w:jc w:val="center"/>
              </w:trPr>
              <w:tc>
                <w:tcPr>
                  <w:tcW w:w="1183"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color w:val="000000"/>
                      <w:spacing w:val="4"/>
                      <w:szCs w:val="21"/>
                    </w:rPr>
                    <w:t>N4</w:t>
                  </w:r>
                </w:p>
              </w:tc>
              <w:tc>
                <w:tcPr>
                  <w:tcW w:w="200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西</w:t>
                  </w:r>
                  <w:r>
                    <w:rPr>
                      <w:color w:val="000000"/>
                      <w:spacing w:val="4"/>
                      <w:szCs w:val="21"/>
                    </w:rPr>
                    <w:t>厂界外1m</w:t>
                  </w:r>
                </w:p>
              </w:tc>
              <w:tc>
                <w:tcPr>
                  <w:tcW w:w="1271"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62.1</w:t>
                  </w:r>
                </w:p>
              </w:tc>
              <w:tc>
                <w:tcPr>
                  <w:tcW w:w="1275" w:type="dxa"/>
                  <w:vMerge w:val="continue"/>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p>
              </w:tc>
              <w:tc>
                <w:tcPr>
                  <w:tcW w:w="1267" w:type="dxa"/>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r>
                    <w:rPr>
                      <w:rFonts w:hint="eastAsia"/>
                      <w:color w:val="000000"/>
                      <w:spacing w:val="4"/>
                      <w:szCs w:val="21"/>
                    </w:rPr>
                    <w:t>51.7</w:t>
                  </w:r>
                </w:p>
              </w:tc>
              <w:tc>
                <w:tcPr>
                  <w:tcW w:w="1282" w:type="dxa"/>
                  <w:vMerge w:val="continue"/>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szCs w:val="21"/>
                    </w:rPr>
                  </w:pPr>
                </w:p>
              </w:tc>
            </w:tr>
          </w:tbl>
          <w:p>
            <w:pPr>
              <w:tabs>
                <w:tab w:val="left" w:pos="0"/>
              </w:tabs>
              <w:spacing w:line="360" w:lineRule="auto"/>
              <w:ind w:firstLine="480" w:firstLineChars="200"/>
              <w:rPr>
                <w:color w:val="000000"/>
              </w:rPr>
            </w:pPr>
            <w:r>
              <w:rPr>
                <w:color w:val="000000"/>
                <w:sz w:val="24"/>
              </w:rPr>
              <w:t>由上表监测结果可知，</w:t>
            </w:r>
            <w:r>
              <w:rPr>
                <w:color w:val="000000"/>
                <w:kern w:val="0"/>
                <w:sz w:val="24"/>
                <w:szCs w:val="21"/>
              </w:rPr>
              <w:t>本项目所在地相应声环境质量可以达到《声环境质量标准》（GB3096-2008）表1中3类标准要求。</w:t>
            </w:r>
          </w:p>
          <w:p>
            <w:pPr>
              <w:tabs>
                <w:tab w:val="left" w:pos="0"/>
              </w:tabs>
              <w:spacing w:line="360" w:lineRule="auto"/>
              <w:jc w:val="center"/>
              <w:rPr>
                <w:color w:val="000000"/>
                <w:sz w:val="24"/>
              </w:rPr>
            </w:pPr>
            <w:r>
              <w:drawing>
                <wp:inline distT="0" distB="0" distL="114300" distR="114300">
                  <wp:extent cx="5289550" cy="3270250"/>
                  <wp:effectExtent l="0" t="0" r="6350" b="635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8"/>
                          <a:stretch>
                            <a:fillRect/>
                          </a:stretch>
                        </pic:blipFill>
                        <pic:spPr>
                          <a:xfrm>
                            <a:off x="0" y="0"/>
                            <a:ext cx="5289550" cy="3270250"/>
                          </a:xfrm>
                          <a:prstGeom prst="rect">
                            <a:avLst/>
                          </a:prstGeom>
                          <a:noFill/>
                          <a:ln>
                            <a:noFill/>
                          </a:ln>
                        </pic:spPr>
                      </pic:pic>
                    </a:graphicData>
                  </a:graphic>
                </wp:inline>
              </w:drawing>
            </w:r>
          </w:p>
          <w:p>
            <w:pPr>
              <w:pStyle w:val="7"/>
              <w:ind w:firstLine="0"/>
              <w:jc w:val="center"/>
              <w:rPr>
                <w:b/>
                <w:color w:val="000000"/>
                <w:kern w:val="0"/>
                <w:sz w:val="24"/>
                <w:szCs w:val="20"/>
              </w:rPr>
            </w:pPr>
            <w:r>
              <w:rPr>
                <w:b/>
                <w:color w:val="000000"/>
                <w:kern w:val="0"/>
                <w:sz w:val="24"/>
                <w:szCs w:val="20"/>
              </w:rPr>
              <w:t>图3-2 噪声监测点位图</w:t>
            </w:r>
          </w:p>
          <w:p>
            <w:pPr>
              <w:tabs>
                <w:tab w:val="left" w:pos="0"/>
              </w:tabs>
              <w:spacing w:line="360" w:lineRule="auto"/>
              <w:rPr>
                <w:b/>
                <w:color w:val="000000"/>
                <w:sz w:val="24"/>
              </w:rPr>
            </w:pPr>
            <w:r>
              <w:rPr>
                <w:b/>
                <w:color w:val="000000"/>
                <w:sz w:val="24"/>
              </w:rPr>
              <w:t>3.1.4地下水、土壤环境质量现状</w:t>
            </w:r>
          </w:p>
          <w:p>
            <w:pPr>
              <w:tabs>
                <w:tab w:val="left" w:pos="0"/>
              </w:tabs>
              <w:spacing w:line="360" w:lineRule="auto"/>
              <w:ind w:firstLine="480" w:firstLineChars="200"/>
              <w:jc w:val="left"/>
              <w:rPr>
                <w:color w:val="000000"/>
                <w:kern w:val="0"/>
                <w:szCs w:val="21"/>
                <w:highlight w:val="yellow"/>
              </w:rPr>
            </w:pPr>
            <w:r>
              <w:rPr>
                <w:bCs/>
                <w:color w:val="000000"/>
                <w:sz w:val="24"/>
              </w:rPr>
              <w:t>本项目地面均已做硬化处理，不存在土壤、地下水环境污染途径的，故无需开展环境质量现状调查。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800" w:type="dxa"/>
            <w:vAlign w:val="center"/>
          </w:tcPr>
          <w:p>
            <w:pPr>
              <w:adjustRightInd w:val="0"/>
              <w:snapToGrid w:val="0"/>
              <w:jc w:val="center"/>
              <w:rPr>
                <w:color w:val="000000"/>
                <w:kern w:val="0"/>
                <w:sz w:val="24"/>
              </w:rPr>
            </w:pPr>
            <w:r>
              <w:rPr>
                <w:color w:val="000000"/>
                <w:kern w:val="0"/>
                <w:sz w:val="24"/>
              </w:rPr>
              <w:t>环境</w:t>
            </w:r>
          </w:p>
          <w:p>
            <w:pPr>
              <w:adjustRightInd w:val="0"/>
              <w:snapToGrid w:val="0"/>
              <w:jc w:val="center"/>
              <w:rPr>
                <w:color w:val="000000"/>
                <w:kern w:val="0"/>
                <w:sz w:val="24"/>
              </w:rPr>
            </w:pPr>
            <w:r>
              <w:rPr>
                <w:color w:val="000000"/>
                <w:kern w:val="0"/>
                <w:sz w:val="24"/>
              </w:rPr>
              <w:t>保护</w:t>
            </w:r>
          </w:p>
          <w:p>
            <w:pPr>
              <w:adjustRightInd w:val="0"/>
              <w:snapToGrid w:val="0"/>
              <w:jc w:val="center"/>
              <w:rPr>
                <w:color w:val="000000"/>
                <w:kern w:val="0"/>
                <w:szCs w:val="21"/>
              </w:rPr>
            </w:pPr>
            <w:r>
              <w:rPr>
                <w:color w:val="000000"/>
                <w:kern w:val="0"/>
                <w:sz w:val="24"/>
              </w:rPr>
              <w:t>目标</w:t>
            </w:r>
          </w:p>
        </w:tc>
        <w:tc>
          <w:tcPr>
            <w:tcW w:w="8726" w:type="dxa"/>
            <w:vAlign w:val="center"/>
          </w:tcPr>
          <w:p>
            <w:pPr>
              <w:widowControl/>
              <w:tabs>
                <w:tab w:val="left" w:pos="0"/>
              </w:tabs>
              <w:spacing w:before="60" w:line="360" w:lineRule="auto"/>
              <w:jc w:val="left"/>
              <w:rPr>
                <w:b/>
                <w:color w:val="000000"/>
                <w:sz w:val="24"/>
              </w:rPr>
            </w:pPr>
            <w:r>
              <w:rPr>
                <w:b/>
                <w:color w:val="000000"/>
                <w:sz w:val="24"/>
              </w:rPr>
              <w:t>3.2主要环境保护目标（列出名单及保护级别）：</w:t>
            </w:r>
          </w:p>
          <w:p>
            <w:pPr>
              <w:adjustRightInd w:val="0"/>
              <w:snapToGrid w:val="0"/>
              <w:spacing w:before="60"/>
              <w:jc w:val="center"/>
              <w:rPr>
                <w:b/>
                <w:color w:val="000000"/>
                <w:sz w:val="24"/>
              </w:rPr>
            </w:pPr>
            <w:r>
              <w:rPr>
                <w:b/>
                <w:color w:val="000000"/>
                <w:sz w:val="24"/>
              </w:rPr>
              <w:t>表3-6  建设项目主要环境保护目标一览表</w:t>
            </w:r>
          </w:p>
          <w:tbl>
            <w:tblPr>
              <w:tblStyle w:val="20"/>
              <w:tblW w:w="49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7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775" w:type="pct"/>
                  <w:vAlign w:val="center"/>
                </w:tcPr>
                <w:p>
                  <w:pPr>
                    <w:overflowPunct w:val="0"/>
                    <w:adjustRightInd w:val="0"/>
                    <w:snapToGrid w:val="0"/>
                    <w:jc w:val="center"/>
                    <w:rPr>
                      <w:b/>
                      <w:color w:val="000000"/>
                      <w:szCs w:val="21"/>
                    </w:rPr>
                  </w:pPr>
                  <w:r>
                    <w:rPr>
                      <w:b/>
                      <w:color w:val="000000"/>
                      <w:szCs w:val="21"/>
                    </w:rPr>
                    <w:t>环境要素</w:t>
                  </w:r>
                </w:p>
              </w:tc>
              <w:tc>
                <w:tcPr>
                  <w:tcW w:w="4224" w:type="pct"/>
                  <w:vAlign w:val="center"/>
                </w:tcPr>
                <w:p>
                  <w:pPr>
                    <w:overflowPunct w:val="0"/>
                    <w:adjustRightInd w:val="0"/>
                    <w:snapToGrid w:val="0"/>
                    <w:jc w:val="center"/>
                    <w:rPr>
                      <w:b/>
                      <w:color w:val="000000"/>
                      <w:szCs w:val="21"/>
                    </w:rPr>
                  </w:pPr>
                  <w:r>
                    <w:rPr>
                      <w:b/>
                      <w:color w:val="000000"/>
                      <w:sz w:val="24"/>
                    </w:rPr>
                    <w:t>环境保护目标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775" w:type="pct"/>
                  <w:vAlign w:val="center"/>
                </w:tcPr>
                <w:p>
                  <w:pPr>
                    <w:overflowPunct w:val="0"/>
                    <w:adjustRightInd w:val="0"/>
                    <w:snapToGrid w:val="0"/>
                    <w:jc w:val="center"/>
                    <w:rPr>
                      <w:color w:val="000000"/>
                      <w:szCs w:val="21"/>
                    </w:rPr>
                  </w:pPr>
                  <w:r>
                    <w:rPr>
                      <w:color w:val="000000"/>
                      <w:szCs w:val="21"/>
                    </w:rPr>
                    <w:t>大气环境</w:t>
                  </w:r>
                </w:p>
              </w:tc>
              <w:tc>
                <w:tcPr>
                  <w:tcW w:w="4224" w:type="pct"/>
                  <w:vAlign w:val="center"/>
                </w:tcPr>
                <w:p>
                  <w:pPr>
                    <w:overflowPunct w:val="0"/>
                    <w:adjustRightInd w:val="0"/>
                    <w:snapToGrid w:val="0"/>
                    <w:jc w:val="center"/>
                    <w:rPr>
                      <w:bCs/>
                      <w:color w:val="000000"/>
                      <w:szCs w:val="21"/>
                    </w:rPr>
                  </w:pPr>
                  <w:r>
                    <w:rPr>
                      <w:bCs/>
                      <w:color w:val="000000"/>
                      <w:szCs w:val="21"/>
                    </w:rPr>
                    <w:t>本项目厂界外5</w:t>
                  </w:r>
                  <w:r>
                    <w:rPr>
                      <w:rFonts w:hint="eastAsia"/>
                      <w:bCs/>
                      <w:color w:val="000000"/>
                      <w:szCs w:val="21"/>
                    </w:rPr>
                    <w:t>0</w:t>
                  </w:r>
                  <w:r>
                    <w:rPr>
                      <w:bCs/>
                      <w:color w:val="000000"/>
                      <w:szCs w:val="21"/>
                    </w:rPr>
                    <w:t>0m范围内</w:t>
                  </w:r>
                  <w:r>
                    <w:rPr>
                      <w:rFonts w:hint="eastAsia"/>
                      <w:bCs/>
                      <w:color w:val="000000"/>
                      <w:szCs w:val="21"/>
                    </w:rPr>
                    <w:t>无</w:t>
                  </w:r>
                  <w:r>
                    <w:rPr>
                      <w:bCs/>
                      <w:color w:val="000000"/>
                      <w:szCs w:val="21"/>
                    </w:rPr>
                    <w:t>大气环境保护目标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75" w:type="pct"/>
                  <w:vAlign w:val="center"/>
                </w:tcPr>
                <w:p>
                  <w:pPr>
                    <w:overflowPunct w:val="0"/>
                    <w:adjustRightInd w:val="0"/>
                    <w:snapToGrid w:val="0"/>
                    <w:jc w:val="center"/>
                    <w:rPr>
                      <w:color w:val="000000"/>
                      <w:szCs w:val="21"/>
                    </w:rPr>
                  </w:pPr>
                  <w:r>
                    <w:rPr>
                      <w:color w:val="000000"/>
                      <w:szCs w:val="21"/>
                    </w:rPr>
                    <w:t>地下水环境</w:t>
                  </w:r>
                </w:p>
              </w:tc>
              <w:tc>
                <w:tcPr>
                  <w:tcW w:w="4224" w:type="pct"/>
                  <w:vAlign w:val="center"/>
                </w:tcPr>
                <w:p>
                  <w:pPr>
                    <w:overflowPunct w:val="0"/>
                    <w:adjustRightInd w:val="0"/>
                    <w:snapToGrid w:val="0"/>
                    <w:jc w:val="center"/>
                    <w:rPr>
                      <w:bCs/>
                      <w:color w:val="000000"/>
                      <w:szCs w:val="21"/>
                    </w:rPr>
                  </w:pPr>
                  <w:r>
                    <w:rPr>
                      <w:bCs/>
                      <w:color w:val="000000"/>
                      <w:szCs w:val="21"/>
                    </w:rPr>
                    <w:t>本项目厂界外500m范围内无特殊地下水资源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75" w:type="pct"/>
                  <w:vAlign w:val="center"/>
                </w:tcPr>
                <w:p>
                  <w:pPr>
                    <w:overflowPunct w:val="0"/>
                    <w:adjustRightInd w:val="0"/>
                    <w:snapToGrid w:val="0"/>
                    <w:jc w:val="center"/>
                    <w:rPr>
                      <w:color w:val="000000"/>
                      <w:szCs w:val="21"/>
                    </w:rPr>
                  </w:pPr>
                  <w:r>
                    <w:rPr>
                      <w:color w:val="000000"/>
                      <w:szCs w:val="21"/>
                    </w:rPr>
                    <w:t>声环境</w:t>
                  </w:r>
                </w:p>
              </w:tc>
              <w:tc>
                <w:tcPr>
                  <w:tcW w:w="4224" w:type="pct"/>
                  <w:vAlign w:val="center"/>
                </w:tcPr>
                <w:p>
                  <w:pPr>
                    <w:overflowPunct w:val="0"/>
                    <w:adjustRightInd w:val="0"/>
                    <w:snapToGrid w:val="0"/>
                    <w:jc w:val="center"/>
                    <w:rPr>
                      <w:color w:val="000000"/>
                      <w:szCs w:val="21"/>
                    </w:rPr>
                  </w:pPr>
                  <w:r>
                    <w:rPr>
                      <w:bCs/>
                      <w:color w:val="000000"/>
                      <w:szCs w:val="21"/>
                    </w:rPr>
                    <w:t>本项目厂界外50m范围内无声环境保护目标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75" w:type="pct"/>
                  <w:vAlign w:val="center"/>
                </w:tcPr>
                <w:p>
                  <w:pPr>
                    <w:overflowPunct w:val="0"/>
                    <w:adjustRightInd w:val="0"/>
                    <w:snapToGrid w:val="0"/>
                    <w:jc w:val="center"/>
                    <w:rPr>
                      <w:color w:val="000000"/>
                      <w:szCs w:val="21"/>
                    </w:rPr>
                  </w:pPr>
                  <w:r>
                    <w:rPr>
                      <w:color w:val="000000"/>
                      <w:szCs w:val="21"/>
                    </w:rPr>
                    <w:t>生态环境</w:t>
                  </w:r>
                </w:p>
              </w:tc>
              <w:tc>
                <w:tcPr>
                  <w:tcW w:w="4224" w:type="pct"/>
                  <w:vAlign w:val="center"/>
                </w:tcPr>
                <w:p>
                  <w:pPr>
                    <w:overflowPunct w:val="0"/>
                    <w:adjustRightInd w:val="0"/>
                    <w:snapToGrid w:val="0"/>
                    <w:jc w:val="center"/>
                    <w:rPr>
                      <w:color w:val="000000"/>
                      <w:szCs w:val="21"/>
                    </w:rPr>
                  </w:pPr>
                  <w:r>
                    <w:rPr>
                      <w:color w:val="000000"/>
                      <w:szCs w:val="21"/>
                    </w:rPr>
                    <w:t>本项目不新增用地</w:t>
                  </w:r>
                </w:p>
              </w:tc>
            </w:tr>
          </w:tbl>
          <w:p>
            <w:pPr>
              <w:adjustRightInd w:val="0"/>
              <w:snapToGrid w:val="0"/>
              <w:rPr>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tcMar>
              <w:left w:w="28" w:type="dxa"/>
              <w:right w:w="28" w:type="dxa"/>
            </w:tcMar>
            <w:vAlign w:val="center"/>
          </w:tcPr>
          <w:p>
            <w:pPr>
              <w:adjustRightInd w:val="0"/>
              <w:snapToGrid w:val="0"/>
              <w:jc w:val="center"/>
              <w:rPr>
                <w:color w:val="000000"/>
                <w:kern w:val="0"/>
                <w:sz w:val="24"/>
              </w:rPr>
            </w:pPr>
            <w:r>
              <w:rPr>
                <w:color w:val="000000"/>
                <w:kern w:val="0"/>
                <w:sz w:val="24"/>
              </w:rPr>
              <w:t>污染</w:t>
            </w:r>
          </w:p>
          <w:p>
            <w:pPr>
              <w:adjustRightInd w:val="0"/>
              <w:snapToGrid w:val="0"/>
              <w:jc w:val="center"/>
              <w:rPr>
                <w:color w:val="000000"/>
                <w:kern w:val="0"/>
                <w:sz w:val="24"/>
              </w:rPr>
            </w:pPr>
            <w:r>
              <w:rPr>
                <w:color w:val="000000"/>
                <w:kern w:val="0"/>
                <w:sz w:val="24"/>
              </w:rPr>
              <w:t>物排</w:t>
            </w:r>
          </w:p>
          <w:p>
            <w:pPr>
              <w:adjustRightInd w:val="0"/>
              <w:snapToGrid w:val="0"/>
              <w:jc w:val="center"/>
              <w:rPr>
                <w:color w:val="000000"/>
                <w:kern w:val="0"/>
                <w:sz w:val="24"/>
              </w:rPr>
            </w:pPr>
            <w:r>
              <w:rPr>
                <w:color w:val="000000"/>
                <w:kern w:val="0"/>
                <w:sz w:val="24"/>
              </w:rPr>
              <w:t>放控</w:t>
            </w:r>
          </w:p>
          <w:p>
            <w:pPr>
              <w:adjustRightInd w:val="0"/>
              <w:snapToGrid w:val="0"/>
              <w:jc w:val="center"/>
              <w:rPr>
                <w:color w:val="000000"/>
                <w:kern w:val="0"/>
                <w:sz w:val="24"/>
              </w:rPr>
            </w:pPr>
            <w:r>
              <w:rPr>
                <w:color w:val="000000"/>
                <w:kern w:val="0"/>
                <w:sz w:val="24"/>
              </w:rPr>
              <w:t>制标</w:t>
            </w:r>
          </w:p>
          <w:p>
            <w:pPr>
              <w:adjustRightInd w:val="0"/>
              <w:snapToGrid w:val="0"/>
              <w:jc w:val="center"/>
              <w:rPr>
                <w:color w:val="000000"/>
                <w:kern w:val="0"/>
                <w:szCs w:val="21"/>
                <w:highlight w:val="yellow"/>
              </w:rPr>
            </w:pPr>
            <w:r>
              <w:rPr>
                <w:color w:val="000000"/>
                <w:kern w:val="0"/>
                <w:sz w:val="24"/>
              </w:rPr>
              <w:t>准</w:t>
            </w:r>
          </w:p>
        </w:tc>
        <w:tc>
          <w:tcPr>
            <w:tcW w:w="8726" w:type="dxa"/>
            <w:vAlign w:val="center"/>
          </w:tcPr>
          <w:p>
            <w:pPr>
              <w:tabs>
                <w:tab w:val="left" w:pos="0"/>
              </w:tabs>
              <w:spacing w:line="360" w:lineRule="auto"/>
              <w:jc w:val="left"/>
              <w:rPr>
                <w:b/>
                <w:color w:val="000000"/>
                <w:sz w:val="24"/>
              </w:rPr>
            </w:pPr>
            <w:r>
              <w:rPr>
                <w:b/>
                <w:color w:val="000000"/>
                <w:sz w:val="24"/>
              </w:rPr>
              <w:t>3.3污染物排放控制标准</w:t>
            </w:r>
          </w:p>
          <w:p>
            <w:pPr>
              <w:tabs>
                <w:tab w:val="left" w:pos="0"/>
              </w:tabs>
              <w:spacing w:line="360" w:lineRule="auto"/>
              <w:jc w:val="left"/>
              <w:rPr>
                <w:b/>
                <w:color w:val="000000"/>
                <w:sz w:val="24"/>
              </w:rPr>
            </w:pPr>
            <w:r>
              <w:rPr>
                <w:b/>
                <w:color w:val="000000"/>
                <w:sz w:val="24"/>
              </w:rPr>
              <w:t>3.3.1废气排放标准</w:t>
            </w:r>
          </w:p>
          <w:p>
            <w:pPr>
              <w:tabs>
                <w:tab w:val="left" w:pos="0"/>
              </w:tabs>
              <w:spacing w:line="360" w:lineRule="auto"/>
              <w:ind w:firstLine="480" w:firstLineChars="200"/>
              <w:jc w:val="left"/>
              <w:rPr>
                <w:color w:val="000000"/>
                <w:sz w:val="24"/>
              </w:rPr>
            </w:pPr>
            <w:r>
              <w:rPr>
                <w:color w:val="000000"/>
                <w:sz w:val="24"/>
              </w:rPr>
              <w:t>本项目生产过程产生的非甲烷总烃、锡及其化合物排放执行《大气污染物综合排放标准》（DB32/4041—2021）表1相关标准。具体排放限值见下表。</w:t>
            </w:r>
          </w:p>
          <w:p>
            <w:pPr>
              <w:adjustRightInd w:val="0"/>
              <w:snapToGrid w:val="0"/>
              <w:spacing w:before="60"/>
              <w:jc w:val="center"/>
              <w:rPr>
                <w:b/>
                <w:color w:val="000000"/>
                <w:sz w:val="24"/>
              </w:rPr>
            </w:pPr>
          </w:p>
          <w:p>
            <w:pPr>
              <w:adjustRightInd w:val="0"/>
              <w:snapToGrid w:val="0"/>
              <w:spacing w:before="60"/>
              <w:jc w:val="center"/>
              <w:rPr>
                <w:b/>
                <w:color w:val="000000"/>
                <w:sz w:val="24"/>
              </w:rPr>
            </w:pPr>
          </w:p>
          <w:p>
            <w:pPr>
              <w:adjustRightInd w:val="0"/>
              <w:snapToGrid w:val="0"/>
              <w:spacing w:before="60"/>
              <w:jc w:val="center"/>
              <w:rPr>
                <w:b/>
                <w:color w:val="000000"/>
                <w:sz w:val="24"/>
              </w:rPr>
            </w:pPr>
          </w:p>
          <w:p>
            <w:pPr>
              <w:adjustRightInd w:val="0"/>
              <w:snapToGrid w:val="0"/>
              <w:spacing w:before="60"/>
              <w:jc w:val="center"/>
              <w:rPr>
                <w:b/>
                <w:color w:val="000000"/>
                <w:sz w:val="24"/>
              </w:rPr>
            </w:pPr>
            <w:r>
              <w:rPr>
                <w:b/>
                <w:color w:val="000000"/>
                <w:sz w:val="24"/>
              </w:rPr>
              <w:t>表3-7  大气污染物有组织排放标准</w:t>
            </w:r>
          </w:p>
          <w:tbl>
            <w:tblPr>
              <w:tblStyle w:val="20"/>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09"/>
              <w:gridCol w:w="1981"/>
              <w:gridCol w:w="1949"/>
              <w:gridCol w:w="23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298" w:type="pct"/>
                  <w:vAlign w:val="center"/>
                </w:tcPr>
                <w:p>
                  <w:pPr>
                    <w:pStyle w:val="38"/>
                    <w:spacing w:beforeLines="0" w:afterLines="0" w:line="240" w:lineRule="auto"/>
                    <w:ind w:firstLine="0"/>
                    <w:rPr>
                      <w:rFonts w:ascii="Times New Roman" w:eastAsia="宋体"/>
                      <w:b/>
                      <w:bCs/>
                      <w:color w:val="000000"/>
                      <w:spacing w:val="0"/>
                    </w:rPr>
                  </w:pPr>
                  <w:r>
                    <w:rPr>
                      <w:rFonts w:ascii="Times New Roman" w:eastAsia="宋体"/>
                      <w:b/>
                      <w:bCs/>
                      <w:color w:val="000000"/>
                      <w:spacing w:val="0"/>
                    </w:rPr>
                    <w:t>执行标准</w:t>
                  </w:r>
                </w:p>
              </w:tc>
              <w:tc>
                <w:tcPr>
                  <w:tcW w:w="3701" w:type="pct"/>
                  <w:gridSpan w:val="3"/>
                  <w:vAlign w:val="center"/>
                </w:tcPr>
                <w:p>
                  <w:pPr>
                    <w:pStyle w:val="38"/>
                    <w:spacing w:beforeLines="0" w:afterLines="0" w:line="240" w:lineRule="auto"/>
                    <w:ind w:firstLine="0"/>
                    <w:rPr>
                      <w:rFonts w:ascii="Times New Roman" w:eastAsia="宋体"/>
                      <w:b/>
                      <w:bCs/>
                      <w:color w:val="000000"/>
                      <w:spacing w:val="0"/>
                    </w:rPr>
                  </w:pPr>
                  <w:r>
                    <w:rPr>
                      <w:rFonts w:ascii="Times New Roman" w:eastAsia="宋体"/>
                      <w:b/>
                      <w:bCs/>
                      <w:color w:val="000000"/>
                      <w:spacing w:val="0"/>
                    </w:rPr>
                    <w:t>《大气污染物综合排放标准》（DB32/4041—2021）表1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98" w:type="pct"/>
                  <w:vAlign w:val="center"/>
                </w:tcPr>
                <w:p>
                  <w:pPr>
                    <w:pStyle w:val="38"/>
                    <w:spacing w:beforeLines="0" w:afterLines="0" w:line="240" w:lineRule="auto"/>
                    <w:ind w:firstLine="0"/>
                    <w:rPr>
                      <w:rFonts w:ascii="Times New Roman"/>
                      <w:b/>
                      <w:bCs/>
                      <w:color w:val="000000"/>
                      <w:sz w:val="24"/>
                    </w:rPr>
                  </w:pPr>
                  <w:r>
                    <w:rPr>
                      <w:rFonts w:ascii="Times New Roman" w:eastAsia="宋体"/>
                      <w:b/>
                      <w:bCs/>
                      <w:color w:val="000000"/>
                      <w:spacing w:val="0"/>
                    </w:rPr>
                    <w:t>污染物名称</w:t>
                  </w:r>
                </w:p>
              </w:tc>
              <w:tc>
                <w:tcPr>
                  <w:tcW w:w="1164" w:type="pct"/>
                  <w:vAlign w:val="center"/>
                </w:tcPr>
                <w:p>
                  <w:pPr>
                    <w:pStyle w:val="38"/>
                    <w:spacing w:beforeLines="0" w:afterLines="0" w:line="240" w:lineRule="auto"/>
                    <w:ind w:firstLine="0"/>
                    <w:rPr>
                      <w:rFonts w:ascii="Times New Roman" w:eastAsia="宋体"/>
                      <w:b/>
                      <w:bCs/>
                      <w:color w:val="000000"/>
                      <w:spacing w:val="0"/>
                    </w:rPr>
                  </w:pPr>
                  <w:r>
                    <w:rPr>
                      <w:rFonts w:ascii="Times New Roman" w:eastAsia="宋体"/>
                      <w:b/>
                      <w:bCs/>
                      <w:color w:val="000000"/>
                      <w:spacing w:val="0"/>
                    </w:rPr>
                    <w:t>排放限值</w:t>
                  </w:r>
                  <w:r>
                    <w:rPr>
                      <w:rFonts w:ascii="Times New Roman"/>
                      <w:b/>
                      <w:color w:val="000000"/>
                      <w:szCs w:val="21"/>
                    </w:rPr>
                    <w:t>mg/m</w:t>
                  </w:r>
                  <w:r>
                    <w:rPr>
                      <w:rFonts w:ascii="Times New Roman"/>
                      <w:b/>
                      <w:color w:val="000000"/>
                      <w:szCs w:val="21"/>
                      <w:vertAlign w:val="superscript"/>
                    </w:rPr>
                    <w:t>3</w:t>
                  </w:r>
                </w:p>
              </w:tc>
              <w:tc>
                <w:tcPr>
                  <w:tcW w:w="1145" w:type="pct"/>
                  <w:vAlign w:val="center"/>
                </w:tcPr>
                <w:p>
                  <w:pPr>
                    <w:pStyle w:val="38"/>
                    <w:spacing w:beforeLines="0" w:afterLines="0" w:line="240" w:lineRule="auto"/>
                    <w:ind w:firstLine="0"/>
                    <w:rPr>
                      <w:rFonts w:ascii="Times New Roman" w:eastAsia="宋体"/>
                      <w:b/>
                      <w:bCs/>
                      <w:color w:val="000000"/>
                      <w:spacing w:val="0"/>
                    </w:rPr>
                  </w:pPr>
                  <w:r>
                    <w:rPr>
                      <w:rFonts w:ascii="Times New Roman" w:eastAsia="宋体"/>
                      <w:b/>
                      <w:bCs/>
                      <w:color w:val="000000"/>
                      <w:spacing w:val="0"/>
                    </w:rPr>
                    <w:t>最高允许排放速率kg/h</w:t>
                  </w:r>
                </w:p>
              </w:tc>
              <w:tc>
                <w:tcPr>
                  <w:tcW w:w="1391" w:type="pct"/>
                  <w:vAlign w:val="center"/>
                </w:tcPr>
                <w:p>
                  <w:pPr>
                    <w:pStyle w:val="38"/>
                    <w:spacing w:beforeLines="0" w:afterLines="0" w:line="240" w:lineRule="auto"/>
                    <w:ind w:firstLine="0"/>
                    <w:rPr>
                      <w:rFonts w:ascii="Times New Roman" w:eastAsia="宋体"/>
                      <w:b/>
                      <w:bCs/>
                      <w:color w:val="000000"/>
                      <w:spacing w:val="0"/>
                    </w:rPr>
                  </w:pPr>
                  <w:r>
                    <w:rPr>
                      <w:rFonts w:ascii="Times New Roman" w:eastAsia="宋体"/>
                      <w:b/>
                      <w:bCs/>
                      <w:color w:val="000000"/>
                      <w:spacing w:val="0"/>
                    </w:rPr>
                    <w:t>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98" w:type="pct"/>
                  <w:vAlign w:val="center"/>
                </w:tcPr>
                <w:p>
                  <w:pPr>
                    <w:pStyle w:val="38"/>
                    <w:spacing w:beforeLines="0" w:afterLines="0" w:line="240" w:lineRule="auto"/>
                    <w:ind w:firstLine="0"/>
                    <w:rPr>
                      <w:rFonts w:ascii="Times New Roman" w:eastAsia="宋体"/>
                      <w:color w:val="000000"/>
                      <w:spacing w:val="0"/>
                    </w:rPr>
                  </w:pPr>
                  <w:r>
                    <w:rPr>
                      <w:rFonts w:ascii="Times New Roman" w:eastAsia="宋体"/>
                      <w:color w:val="000000"/>
                      <w:spacing w:val="0"/>
                    </w:rPr>
                    <w:t>非甲烷总烃</w:t>
                  </w:r>
                </w:p>
              </w:tc>
              <w:tc>
                <w:tcPr>
                  <w:tcW w:w="1164" w:type="pct"/>
                  <w:vAlign w:val="center"/>
                </w:tcPr>
                <w:p>
                  <w:pPr>
                    <w:pStyle w:val="38"/>
                    <w:spacing w:beforeLines="0" w:afterLines="0" w:line="240" w:lineRule="auto"/>
                    <w:ind w:firstLine="0"/>
                    <w:rPr>
                      <w:rFonts w:ascii="Times New Roman" w:eastAsia="宋体"/>
                      <w:color w:val="000000"/>
                      <w:spacing w:val="0"/>
                    </w:rPr>
                  </w:pPr>
                  <w:r>
                    <w:rPr>
                      <w:rFonts w:ascii="Times New Roman" w:eastAsia="宋体"/>
                      <w:color w:val="000000"/>
                      <w:spacing w:val="0"/>
                    </w:rPr>
                    <w:t>60</w:t>
                  </w:r>
                </w:p>
              </w:tc>
              <w:tc>
                <w:tcPr>
                  <w:tcW w:w="1145" w:type="pct"/>
                  <w:vAlign w:val="center"/>
                </w:tcPr>
                <w:p>
                  <w:pPr>
                    <w:pStyle w:val="38"/>
                    <w:spacing w:beforeLines="0" w:afterLines="0" w:line="240" w:lineRule="auto"/>
                    <w:ind w:firstLine="0"/>
                    <w:rPr>
                      <w:rFonts w:ascii="Times New Roman" w:eastAsia="宋体"/>
                      <w:color w:val="000000"/>
                      <w:spacing w:val="0"/>
                    </w:rPr>
                  </w:pPr>
                  <w:r>
                    <w:rPr>
                      <w:rFonts w:ascii="Times New Roman" w:eastAsia="宋体"/>
                      <w:color w:val="000000"/>
                      <w:spacing w:val="0"/>
                    </w:rPr>
                    <w:t>3</w:t>
                  </w:r>
                </w:p>
              </w:tc>
              <w:tc>
                <w:tcPr>
                  <w:tcW w:w="1391" w:type="pct"/>
                  <w:vMerge w:val="restart"/>
                  <w:vAlign w:val="center"/>
                </w:tcPr>
                <w:p>
                  <w:pPr>
                    <w:pStyle w:val="38"/>
                    <w:spacing w:beforeLines="0" w:afterLines="0" w:line="240" w:lineRule="auto"/>
                    <w:ind w:firstLine="0"/>
                    <w:rPr>
                      <w:rFonts w:ascii="Times New Roman" w:eastAsia="宋体"/>
                      <w:color w:val="000000"/>
                      <w:spacing w:val="0"/>
                    </w:rPr>
                  </w:pPr>
                  <w:r>
                    <w:rPr>
                      <w:rFonts w:ascii="Times New Roman" w:eastAsia="宋体"/>
                      <w:color w:val="000000"/>
                      <w:spacing w:val="0"/>
                    </w:rPr>
                    <w:t>车间排气筒出口或生产设施排气筒出口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98" w:type="pct"/>
                  <w:vAlign w:val="center"/>
                </w:tcPr>
                <w:p>
                  <w:pPr>
                    <w:pStyle w:val="38"/>
                    <w:spacing w:beforeLines="0" w:afterLines="0" w:line="240" w:lineRule="auto"/>
                    <w:ind w:firstLine="0"/>
                    <w:rPr>
                      <w:rFonts w:ascii="Times New Roman" w:eastAsia="宋体"/>
                      <w:color w:val="000000"/>
                      <w:spacing w:val="0"/>
                    </w:rPr>
                  </w:pPr>
                  <w:r>
                    <w:rPr>
                      <w:rFonts w:ascii="Times New Roman" w:eastAsia="宋体"/>
                      <w:color w:val="000000"/>
                      <w:spacing w:val="0"/>
                    </w:rPr>
                    <w:t>锡及其化合物</w:t>
                  </w:r>
                </w:p>
              </w:tc>
              <w:tc>
                <w:tcPr>
                  <w:tcW w:w="1164" w:type="pct"/>
                  <w:vAlign w:val="center"/>
                </w:tcPr>
                <w:p>
                  <w:pPr>
                    <w:pStyle w:val="38"/>
                    <w:spacing w:beforeLines="0" w:afterLines="0" w:line="240" w:lineRule="auto"/>
                    <w:ind w:firstLine="0"/>
                    <w:rPr>
                      <w:rFonts w:ascii="Times New Roman" w:eastAsia="宋体"/>
                      <w:color w:val="000000"/>
                      <w:spacing w:val="0"/>
                    </w:rPr>
                  </w:pPr>
                  <w:r>
                    <w:rPr>
                      <w:rFonts w:ascii="Times New Roman" w:eastAsia="宋体"/>
                      <w:color w:val="000000"/>
                      <w:spacing w:val="0"/>
                    </w:rPr>
                    <w:t>5</w:t>
                  </w:r>
                </w:p>
              </w:tc>
              <w:tc>
                <w:tcPr>
                  <w:tcW w:w="1145" w:type="pct"/>
                  <w:vAlign w:val="center"/>
                </w:tcPr>
                <w:p>
                  <w:pPr>
                    <w:pStyle w:val="38"/>
                    <w:spacing w:beforeLines="0" w:afterLines="0" w:line="240" w:lineRule="auto"/>
                    <w:ind w:firstLine="0"/>
                    <w:rPr>
                      <w:rFonts w:ascii="Times New Roman" w:eastAsia="宋体"/>
                      <w:color w:val="000000"/>
                      <w:spacing w:val="0"/>
                    </w:rPr>
                  </w:pPr>
                  <w:r>
                    <w:rPr>
                      <w:rFonts w:ascii="Times New Roman" w:eastAsia="宋体"/>
                      <w:color w:val="000000"/>
                      <w:spacing w:val="0"/>
                    </w:rPr>
                    <w:t>0.22</w:t>
                  </w:r>
                </w:p>
              </w:tc>
              <w:tc>
                <w:tcPr>
                  <w:tcW w:w="1391" w:type="pct"/>
                  <w:vMerge w:val="continue"/>
                  <w:vAlign w:val="center"/>
                </w:tcPr>
                <w:p>
                  <w:pPr>
                    <w:pStyle w:val="38"/>
                    <w:spacing w:beforeLines="0" w:afterLines="0" w:line="240" w:lineRule="auto"/>
                    <w:ind w:firstLine="0"/>
                    <w:rPr>
                      <w:rFonts w:ascii="Times New Roman" w:eastAsia="宋体"/>
                      <w:color w:val="000000"/>
                      <w:spacing w:val="0"/>
                    </w:rPr>
                  </w:pPr>
                </w:p>
              </w:tc>
            </w:tr>
          </w:tbl>
          <w:p>
            <w:pPr>
              <w:tabs>
                <w:tab w:val="left" w:pos="0"/>
              </w:tabs>
              <w:spacing w:line="360" w:lineRule="auto"/>
              <w:rPr>
                <w:b/>
                <w:color w:val="000000"/>
                <w:sz w:val="24"/>
              </w:rPr>
            </w:pPr>
            <w:r>
              <w:rPr>
                <w:b/>
                <w:color w:val="000000"/>
                <w:sz w:val="24"/>
              </w:rPr>
              <w:t>3.3.2废水排放标准</w:t>
            </w:r>
          </w:p>
          <w:p>
            <w:pPr>
              <w:tabs>
                <w:tab w:val="left" w:pos="0"/>
              </w:tabs>
              <w:spacing w:line="360" w:lineRule="auto"/>
              <w:ind w:firstLine="480" w:firstLineChars="200"/>
              <w:rPr>
                <w:color w:val="000000"/>
                <w:sz w:val="24"/>
              </w:rPr>
            </w:pPr>
            <w:r>
              <w:rPr>
                <w:color w:val="000000"/>
                <w:sz w:val="24"/>
              </w:rPr>
              <w:t>本项目污水接管至市政污水管网，排入</w:t>
            </w:r>
            <w:r>
              <w:rPr>
                <w:rFonts w:hint="eastAsia"/>
                <w:color w:val="000000"/>
                <w:sz w:val="24"/>
              </w:rPr>
              <w:t>科技城水质净化厂</w:t>
            </w:r>
            <w:r>
              <w:rPr>
                <w:color w:val="000000"/>
                <w:sz w:val="24"/>
              </w:rPr>
              <w:t>进行处理达标后排放。污水处理厂接管水质执行</w:t>
            </w:r>
            <w:r>
              <w:rPr>
                <w:bCs/>
                <w:color w:val="000000"/>
                <w:sz w:val="24"/>
              </w:rPr>
              <w:t>《污水综合排放标准》（GB8978-1996）表4三级标准，其中未规定标准限值的氨氮、总磷执行《污水排入城镇下水道水质标准》（GB/T31962-2015）；</w:t>
            </w:r>
            <w:r>
              <w:rPr>
                <w:color w:val="000000"/>
                <w:sz w:val="24"/>
              </w:rPr>
              <w:t>污水处理厂排口尾水排放执行《关于高质量推进城乡生活污水治理三年行动计划的实施意见》的通知（苏委办发〔2018〕77号）中的“</w:t>
            </w:r>
            <w:r>
              <w:rPr>
                <w:bCs/>
                <w:color w:val="000000"/>
                <w:sz w:val="24"/>
              </w:rPr>
              <w:t>苏州特别排放限值</w:t>
            </w:r>
            <w:r>
              <w:rPr>
                <w:color w:val="000000"/>
                <w:sz w:val="24"/>
              </w:rPr>
              <w:t>”，SS执行《城镇污水处理厂污染物排放标准》（GB18918-2002）。具体见下表。</w:t>
            </w:r>
          </w:p>
          <w:p>
            <w:pPr>
              <w:tabs>
                <w:tab w:val="left" w:pos="0"/>
              </w:tabs>
              <w:spacing w:before="60"/>
              <w:jc w:val="center"/>
              <w:rPr>
                <w:b/>
                <w:color w:val="000000"/>
                <w:sz w:val="24"/>
              </w:rPr>
            </w:pPr>
            <w:r>
              <w:rPr>
                <w:b/>
                <w:color w:val="000000"/>
                <w:sz w:val="24"/>
              </w:rPr>
              <w:t>表3-8  废水综合排放标准</w:t>
            </w:r>
          </w:p>
          <w:tbl>
            <w:tblPr>
              <w:tblStyle w:val="20"/>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958"/>
              <w:gridCol w:w="2854"/>
              <w:gridCol w:w="1154"/>
              <w:gridCol w:w="1231"/>
              <w:gridCol w:w="1246"/>
              <w:gridCol w:w="1064"/>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tcBorders>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排放口名称</w:t>
                  </w:r>
                </w:p>
              </w:tc>
              <w:tc>
                <w:tcPr>
                  <w:tcW w:w="1677" w:type="pct"/>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执行标准</w:t>
                  </w:r>
                </w:p>
              </w:tc>
              <w:tc>
                <w:tcPr>
                  <w:tcW w:w="678" w:type="pct"/>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取值表号标准级别</w:t>
                  </w:r>
                </w:p>
              </w:tc>
              <w:tc>
                <w:tcPr>
                  <w:tcW w:w="723" w:type="pct"/>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指标</w:t>
                  </w:r>
                </w:p>
              </w:tc>
              <w:tc>
                <w:tcPr>
                  <w:tcW w:w="732" w:type="pct"/>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标准限值</w:t>
                  </w:r>
                </w:p>
              </w:tc>
              <w:tc>
                <w:tcPr>
                  <w:tcW w:w="625" w:type="pct"/>
                  <w:tcBorders>
                    <w:left w:val="single" w:color="000000" w:sz="4" w:space="0"/>
                    <w:bottom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单位</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restart"/>
                  <w:tcBorders>
                    <w:top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厂区污水处理站排口</w:t>
                  </w:r>
                </w:p>
              </w:tc>
              <w:tc>
                <w:tcPr>
                  <w:tcW w:w="1677" w:type="pct"/>
                  <w:vMerge w:val="restar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《污水综合排放标准》</w:t>
                  </w:r>
                </w:p>
                <w:p>
                  <w:pPr>
                    <w:tabs>
                      <w:tab w:val="left" w:pos="0"/>
                    </w:tabs>
                    <w:adjustRightInd w:val="0"/>
                    <w:snapToGrid w:val="0"/>
                    <w:jc w:val="center"/>
                    <w:rPr>
                      <w:color w:val="000000"/>
                      <w:spacing w:val="4"/>
                      <w:kern w:val="0"/>
                      <w:szCs w:val="20"/>
                    </w:rPr>
                  </w:pPr>
                  <w:r>
                    <w:rPr>
                      <w:color w:val="000000"/>
                      <w:spacing w:val="4"/>
                      <w:kern w:val="0"/>
                      <w:szCs w:val="20"/>
                    </w:rPr>
                    <w:t>（GB8978-1996）</w:t>
                  </w:r>
                </w:p>
              </w:tc>
              <w:tc>
                <w:tcPr>
                  <w:tcW w:w="678" w:type="pct"/>
                  <w:vMerge w:val="restar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表4三级标准</w:t>
                  </w: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pH</w:t>
                  </w:r>
                </w:p>
              </w:tc>
              <w:tc>
                <w:tcPr>
                  <w:tcW w:w="732"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6～9</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无量纲</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right w:val="single" w:color="000000" w:sz="4" w:space="0"/>
                  </w:tcBorders>
                  <w:vAlign w:val="center"/>
                </w:tcPr>
                <w:p>
                  <w:pPr>
                    <w:widowControl/>
                    <w:jc w:val="left"/>
                    <w:rPr>
                      <w:color w:val="000000"/>
                      <w:spacing w:val="4"/>
                      <w:kern w:val="0"/>
                      <w:szCs w:val="20"/>
                    </w:rPr>
                  </w:pPr>
                </w:p>
              </w:tc>
              <w:tc>
                <w:tcPr>
                  <w:tcW w:w="167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COD</w:t>
                  </w:r>
                </w:p>
              </w:tc>
              <w:tc>
                <w:tcPr>
                  <w:tcW w:w="732"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500</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right w:val="single" w:color="000000" w:sz="4" w:space="0"/>
                  </w:tcBorders>
                  <w:vAlign w:val="center"/>
                </w:tcPr>
                <w:p>
                  <w:pPr>
                    <w:widowControl/>
                    <w:jc w:val="left"/>
                    <w:rPr>
                      <w:color w:val="000000"/>
                      <w:spacing w:val="4"/>
                      <w:kern w:val="0"/>
                      <w:szCs w:val="20"/>
                    </w:rPr>
                  </w:pPr>
                </w:p>
              </w:tc>
              <w:tc>
                <w:tcPr>
                  <w:tcW w:w="167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SS</w:t>
                  </w:r>
                </w:p>
              </w:tc>
              <w:tc>
                <w:tcPr>
                  <w:tcW w:w="732"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400</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right w:val="single" w:color="000000" w:sz="4" w:space="0"/>
                  </w:tcBorders>
                  <w:vAlign w:val="center"/>
                </w:tcPr>
                <w:p>
                  <w:pPr>
                    <w:widowControl/>
                    <w:jc w:val="left"/>
                    <w:rPr>
                      <w:color w:val="000000"/>
                      <w:spacing w:val="4"/>
                      <w:kern w:val="0"/>
                      <w:szCs w:val="20"/>
                    </w:rPr>
                  </w:pPr>
                </w:p>
              </w:tc>
              <w:tc>
                <w:tcPr>
                  <w:tcW w:w="1677" w:type="pct"/>
                  <w:vMerge w:val="restar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《污水排入城镇下水道水质标准》（GB/T31962-2015）</w:t>
                  </w:r>
                </w:p>
              </w:tc>
              <w:tc>
                <w:tcPr>
                  <w:tcW w:w="678" w:type="pct"/>
                  <w:vMerge w:val="restar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表1B等级</w:t>
                  </w: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氨氮</w:t>
                  </w:r>
                </w:p>
              </w:tc>
              <w:tc>
                <w:tcPr>
                  <w:tcW w:w="732"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45</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right w:val="single" w:color="000000" w:sz="4" w:space="0"/>
                  </w:tcBorders>
                  <w:vAlign w:val="center"/>
                </w:tcPr>
                <w:p>
                  <w:pPr>
                    <w:widowControl/>
                    <w:jc w:val="left"/>
                    <w:rPr>
                      <w:color w:val="000000"/>
                      <w:spacing w:val="4"/>
                      <w:kern w:val="0"/>
                      <w:szCs w:val="20"/>
                    </w:rPr>
                  </w:pPr>
                </w:p>
              </w:tc>
              <w:tc>
                <w:tcPr>
                  <w:tcW w:w="1677" w:type="pct"/>
                  <w:vMerge w:val="continue"/>
                  <w:tcBorders>
                    <w:left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left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总磷</w:t>
                  </w:r>
                </w:p>
              </w:tc>
              <w:tc>
                <w:tcPr>
                  <w:tcW w:w="732"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8</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bottom w:val="single" w:color="000000" w:sz="4" w:space="0"/>
                    <w:right w:val="single" w:color="000000" w:sz="4" w:space="0"/>
                  </w:tcBorders>
                  <w:vAlign w:val="center"/>
                </w:tcPr>
                <w:p>
                  <w:pPr>
                    <w:widowControl/>
                    <w:jc w:val="left"/>
                    <w:rPr>
                      <w:color w:val="000000"/>
                      <w:spacing w:val="4"/>
                      <w:kern w:val="0"/>
                      <w:szCs w:val="20"/>
                    </w:rPr>
                  </w:pPr>
                </w:p>
              </w:tc>
              <w:tc>
                <w:tcPr>
                  <w:tcW w:w="1677" w:type="pct"/>
                  <w:vMerge w:val="continue"/>
                  <w:tcBorders>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rPr>
                    <w:t>总氮</w:t>
                  </w:r>
                </w:p>
              </w:tc>
              <w:tc>
                <w:tcPr>
                  <w:tcW w:w="732"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70</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trHeight w:val="340" w:hRule="atLeast"/>
                <w:jc w:val="center"/>
              </w:trPr>
              <w:tc>
                <w:tcPr>
                  <w:tcW w:w="563" w:type="pct"/>
                  <w:vMerge w:val="restart"/>
                  <w:tcBorders>
                    <w:top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rFonts w:hint="eastAsia"/>
                      <w:color w:val="000000"/>
                      <w:spacing w:val="4"/>
                      <w:kern w:val="0"/>
                      <w:szCs w:val="20"/>
                    </w:rPr>
                    <w:t>科技城水质净化厂</w:t>
                  </w:r>
                  <w:r>
                    <w:rPr>
                      <w:color w:val="000000"/>
                      <w:spacing w:val="4"/>
                      <w:kern w:val="0"/>
                      <w:szCs w:val="20"/>
                    </w:rPr>
                    <w:t>排放口</w:t>
                  </w:r>
                </w:p>
              </w:tc>
              <w:tc>
                <w:tcPr>
                  <w:tcW w:w="1677" w:type="pct"/>
                  <w:vMerge w:val="restart"/>
                  <w:tcBorders>
                    <w:top w:val="single" w:color="000000" w:sz="4" w:space="0"/>
                    <w:left w:val="single" w:color="000000" w:sz="4" w:space="0"/>
                    <w:right w:val="single" w:color="000000" w:sz="4" w:space="0"/>
                  </w:tcBorders>
                  <w:vAlign w:val="center"/>
                </w:tcPr>
                <w:p>
                  <w:pPr>
                    <w:pStyle w:val="38"/>
                    <w:spacing w:before="24" w:after="24" w:line="240" w:lineRule="auto"/>
                    <w:ind w:firstLine="0"/>
                    <w:rPr>
                      <w:rFonts w:ascii="Times New Roman" w:eastAsia="宋体"/>
                      <w:color w:val="000000"/>
                      <w:spacing w:val="4"/>
                    </w:rPr>
                  </w:pPr>
                  <w:r>
                    <w:rPr>
                      <w:rFonts w:ascii="Times New Roman" w:eastAsia="宋体"/>
                      <w:color w:val="000000"/>
                      <w:spacing w:val="4"/>
                    </w:rPr>
                    <w:t>《关于高质量推进城乡生活污水治理三年行动计划的实施意见》的通知（苏委办发〔2018〕77号）中的“苏州特别排放限值”</w:t>
                  </w:r>
                </w:p>
              </w:tc>
              <w:tc>
                <w:tcPr>
                  <w:tcW w:w="678" w:type="pct"/>
                  <w:vMerge w:val="restar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w:t>
                  </w: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COD</w:t>
                  </w:r>
                </w:p>
              </w:tc>
              <w:tc>
                <w:tcPr>
                  <w:tcW w:w="732" w:type="pct"/>
                  <w:tcBorders>
                    <w:top w:val="single" w:color="000000" w:sz="4" w:space="0"/>
                    <w:left w:val="single" w:color="000000" w:sz="4" w:space="0"/>
                    <w:bottom w:val="single" w:color="000000" w:sz="4" w:space="0"/>
                    <w:right w:val="single" w:color="000000" w:sz="4" w:space="0"/>
                  </w:tcBorders>
                  <w:vAlign w:val="center"/>
                </w:tcPr>
                <w:p>
                  <w:pPr>
                    <w:pStyle w:val="38"/>
                    <w:spacing w:before="24" w:after="24" w:line="240" w:lineRule="auto"/>
                    <w:ind w:firstLine="0"/>
                    <w:rPr>
                      <w:rFonts w:ascii="Times New Roman"/>
                      <w:color w:val="000000"/>
                      <w:spacing w:val="4"/>
                    </w:rPr>
                  </w:pPr>
                  <w:r>
                    <w:rPr>
                      <w:rFonts w:ascii="Times New Roman" w:eastAsia="宋体"/>
                      <w:color w:val="000000"/>
                    </w:rPr>
                    <w:t>30</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top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1677" w:type="pct"/>
                  <w:vMerge w:val="continue"/>
                  <w:tcBorders>
                    <w:left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left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氨氮</w:t>
                  </w:r>
                </w:p>
              </w:tc>
              <w:tc>
                <w:tcPr>
                  <w:tcW w:w="732" w:type="pct"/>
                  <w:tcBorders>
                    <w:top w:val="single" w:color="000000" w:sz="4" w:space="0"/>
                    <w:left w:val="single" w:color="000000" w:sz="4" w:space="0"/>
                    <w:bottom w:val="single" w:color="000000" w:sz="4" w:space="0"/>
                    <w:right w:val="single" w:color="000000" w:sz="4" w:space="0"/>
                  </w:tcBorders>
                  <w:vAlign w:val="center"/>
                </w:tcPr>
                <w:p>
                  <w:pPr>
                    <w:pStyle w:val="38"/>
                    <w:spacing w:before="24" w:after="24" w:line="240" w:lineRule="auto"/>
                    <w:ind w:firstLine="0"/>
                    <w:rPr>
                      <w:rFonts w:ascii="Times New Roman"/>
                      <w:color w:val="000000"/>
                      <w:spacing w:val="4"/>
                    </w:rPr>
                  </w:pPr>
                  <w:r>
                    <w:rPr>
                      <w:rFonts w:ascii="Times New Roman" w:eastAsia="宋体"/>
                      <w:color w:val="000000"/>
                    </w:rPr>
                    <w:t>1.5（3）*</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trHeight w:val="340" w:hRule="atLeast"/>
                <w:jc w:val="center"/>
              </w:trPr>
              <w:tc>
                <w:tcPr>
                  <w:tcW w:w="563" w:type="pct"/>
                  <w:vMerge w:val="continue"/>
                  <w:tcBorders>
                    <w:top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1677" w:type="pct"/>
                  <w:vMerge w:val="continue"/>
                  <w:tcBorders>
                    <w:left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left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总磷</w:t>
                  </w:r>
                </w:p>
              </w:tc>
              <w:tc>
                <w:tcPr>
                  <w:tcW w:w="732" w:type="pct"/>
                  <w:tcBorders>
                    <w:top w:val="single" w:color="000000" w:sz="4" w:space="0"/>
                    <w:left w:val="single" w:color="000000" w:sz="4" w:space="0"/>
                    <w:bottom w:val="single" w:color="000000" w:sz="4" w:space="0"/>
                    <w:right w:val="single" w:color="000000" w:sz="4" w:space="0"/>
                  </w:tcBorders>
                  <w:vAlign w:val="center"/>
                </w:tcPr>
                <w:p>
                  <w:pPr>
                    <w:pStyle w:val="38"/>
                    <w:spacing w:before="24" w:after="24" w:line="240" w:lineRule="auto"/>
                    <w:ind w:firstLine="0"/>
                    <w:rPr>
                      <w:rFonts w:ascii="Times New Roman"/>
                      <w:color w:val="000000"/>
                      <w:spacing w:val="4"/>
                    </w:rPr>
                  </w:pPr>
                  <w:r>
                    <w:rPr>
                      <w:rFonts w:ascii="Times New Roman"/>
                      <w:color w:val="000000"/>
                      <w:spacing w:val="4"/>
                    </w:rPr>
                    <w:t>0.3</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top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1677" w:type="pct"/>
                  <w:vMerge w:val="continue"/>
                  <w:tcBorders>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left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总氮</w:t>
                  </w:r>
                </w:p>
              </w:tc>
              <w:tc>
                <w:tcPr>
                  <w:tcW w:w="732" w:type="pct"/>
                  <w:tcBorders>
                    <w:top w:val="single" w:color="000000" w:sz="4" w:space="0"/>
                    <w:left w:val="single" w:color="000000" w:sz="4" w:space="0"/>
                    <w:bottom w:val="single" w:color="000000" w:sz="4" w:space="0"/>
                    <w:right w:val="single" w:color="000000" w:sz="4" w:space="0"/>
                  </w:tcBorders>
                  <w:vAlign w:val="center"/>
                </w:tcPr>
                <w:p>
                  <w:pPr>
                    <w:pStyle w:val="38"/>
                    <w:spacing w:before="24" w:after="24" w:line="240" w:lineRule="auto"/>
                    <w:ind w:firstLine="0"/>
                    <w:rPr>
                      <w:rFonts w:ascii="Times New Roman"/>
                      <w:color w:val="000000"/>
                      <w:spacing w:val="4"/>
                    </w:rPr>
                  </w:pPr>
                  <w:r>
                    <w:rPr>
                      <w:rFonts w:ascii="Times New Roman"/>
                      <w:color w:val="000000"/>
                      <w:spacing w:val="4"/>
                    </w:rPr>
                    <w:t>10</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top w:val="single" w:color="000000" w:sz="4" w:space="0"/>
                    <w:bottom w:val="single" w:color="000000" w:sz="4" w:space="0"/>
                    <w:right w:val="single" w:color="000000" w:sz="4" w:space="0"/>
                  </w:tcBorders>
                  <w:vAlign w:val="center"/>
                </w:tcPr>
                <w:p>
                  <w:pPr>
                    <w:widowControl/>
                    <w:jc w:val="left"/>
                    <w:rPr>
                      <w:color w:val="000000"/>
                      <w:spacing w:val="4"/>
                      <w:kern w:val="0"/>
                      <w:szCs w:val="20"/>
                    </w:rPr>
                  </w:pPr>
                </w:p>
              </w:tc>
              <w:tc>
                <w:tcPr>
                  <w:tcW w:w="1677" w:type="pct"/>
                  <w:vMerge w:val="restart"/>
                  <w:tcBorders>
                    <w:top w:val="single" w:color="000000" w:sz="4" w:space="0"/>
                    <w:left w:val="single" w:color="000000" w:sz="4" w:space="0"/>
                    <w:bottom w:val="single" w:color="000000" w:sz="4" w:space="0"/>
                    <w:right w:val="single" w:color="000000" w:sz="4" w:space="0"/>
                  </w:tcBorders>
                  <w:vAlign w:val="center"/>
                </w:tcPr>
                <w:p>
                  <w:pPr>
                    <w:pStyle w:val="38"/>
                    <w:spacing w:before="24" w:after="24" w:line="240" w:lineRule="auto"/>
                    <w:ind w:firstLine="0"/>
                    <w:rPr>
                      <w:rFonts w:ascii="Times New Roman"/>
                      <w:color w:val="000000"/>
                      <w:spacing w:val="4"/>
                    </w:rPr>
                  </w:pPr>
                  <w:r>
                    <w:rPr>
                      <w:rFonts w:ascii="Times New Roman" w:eastAsia="宋体"/>
                      <w:bCs/>
                      <w:color w:val="000000"/>
                      <w:spacing w:val="0"/>
                    </w:rPr>
                    <w:t>《城镇污水处理厂污染物排放标准》（GB18918-2002）</w:t>
                  </w:r>
                </w:p>
              </w:tc>
              <w:tc>
                <w:tcPr>
                  <w:tcW w:w="678" w:type="pct"/>
                  <w:vMerge w:val="restar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表1 一级A标准</w:t>
                  </w:r>
                </w:p>
              </w:tc>
              <w:tc>
                <w:tcPr>
                  <w:tcW w:w="723"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pH</w:t>
                  </w:r>
                </w:p>
              </w:tc>
              <w:tc>
                <w:tcPr>
                  <w:tcW w:w="732"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6～9</w:t>
                  </w:r>
                </w:p>
              </w:tc>
              <w:tc>
                <w:tcPr>
                  <w:tcW w:w="625"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无量纲</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63" w:type="pct"/>
                  <w:vMerge w:val="continue"/>
                  <w:tcBorders>
                    <w:top w:val="single" w:color="000000" w:sz="4" w:space="0"/>
                    <w:right w:val="single" w:color="000000" w:sz="4" w:space="0"/>
                  </w:tcBorders>
                  <w:vAlign w:val="center"/>
                </w:tcPr>
                <w:p>
                  <w:pPr>
                    <w:widowControl/>
                    <w:jc w:val="left"/>
                    <w:rPr>
                      <w:color w:val="000000"/>
                      <w:spacing w:val="4"/>
                      <w:kern w:val="0"/>
                      <w:szCs w:val="20"/>
                    </w:rPr>
                  </w:pPr>
                </w:p>
              </w:tc>
              <w:tc>
                <w:tcPr>
                  <w:tcW w:w="1677" w:type="pct"/>
                  <w:vMerge w:val="continue"/>
                  <w:tcBorders>
                    <w:top w:val="single" w:color="000000" w:sz="4" w:space="0"/>
                    <w:left w:val="single" w:color="000000" w:sz="4" w:space="0"/>
                    <w:right w:val="single" w:color="000000" w:sz="4" w:space="0"/>
                  </w:tcBorders>
                  <w:vAlign w:val="center"/>
                </w:tcPr>
                <w:p>
                  <w:pPr>
                    <w:widowControl/>
                    <w:jc w:val="left"/>
                    <w:rPr>
                      <w:color w:val="000000"/>
                      <w:spacing w:val="4"/>
                      <w:kern w:val="0"/>
                      <w:szCs w:val="20"/>
                    </w:rPr>
                  </w:pPr>
                </w:p>
              </w:tc>
              <w:tc>
                <w:tcPr>
                  <w:tcW w:w="678" w:type="pct"/>
                  <w:vMerge w:val="continue"/>
                  <w:tcBorders>
                    <w:top w:val="single" w:color="000000" w:sz="4" w:space="0"/>
                    <w:left w:val="single" w:color="000000" w:sz="4" w:space="0"/>
                    <w:right w:val="single" w:color="000000" w:sz="4" w:space="0"/>
                  </w:tcBorders>
                  <w:vAlign w:val="center"/>
                </w:tcPr>
                <w:p>
                  <w:pPr>
                    <w:widowControl/>
                    <w:jc w:val="left"/>
                    <w:rPr>
                      <w:color w:val="000000"/>
                      <w:spacing w:val="4"/>
                      <w:kern w:val="0"/>
                      <w:szCs w:val="20"/>
                    </w:rPr>
                  </w:pPr>
                </w:p>
              </w:tc>
              <w:tc>
                <w:tcPr>
                  <w:tcW w:w="723" w:type="pc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SS</w:t>
                  </w:r>
                </w:p>
              </w:tc>
              <w:tc>
                <w:tcPr>
                  <w:tcW w:w="732" w:type="pc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10</w:t>
                  </w:r>
                </w:p>
              </w:tc>
              <w:tc>
                <w:tcPr>
                  <w:tcW w:w="625" w:type="pct"/>
                  <w:tcBorders>
                    <w:top w:val="single" w:color="000000" w:sz="4" w:space="0"/>
                    <w:lef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mg/L</w:t>
                  </w:r>
                </w:p>
              </w:tc>
            </w:tr>
          </w:tbl>
          <w:p>
            <w:pPr>
              <w:tabs>
                <w:tab w:val="left" w:pos="0"/>
              </w:tabs>
              <w:jc w:val="left"/>
              <w:rPr>
                <w:bCs/>
                <w:color w:val="000000"/>
                <w:sz w:val="18"/>
              </w:rPr>
            </w:pPr>
            <w:r>
              <w:rPr>
                <w:bCs/>
                <w:color w:val="000000"/>
                <w:sz w:val="18"/>
              </w:rPr>
              <w:t>（注：*括号外数值为水温＞12℃时的控制指标，括号内数值为水温≤12</w:t>
            </w:r>
            <w:r>
              <w:rPr>
                <w:bCs/>
                <w:color w:val="000000"/>
                <w:sz w:val="18"/>
                <w:lang w:eastAsia="ja-JP"/>
              </w:rPr>
              <w:t>℃时</w:t>
            </w:r>
            <w:r>
              <w:rPr>
                <w:bCs/>
                <w:color w:val="000000"/>
                <w:sz w:val="18"/>
              </w:rPr>
              <w:t>的控制指标。）</w:t>
            </w:r>
          </w:p>
          <w:p>
            <w:pPr>
              <w:tabs>
                <w:tab w:val="left" w:pos="0"/>
              </w:tabs>
              <w:spacing w:line="360" w:lineRule="auto"/>
              <w:jc w:val="left"/>
              <w:rPr>
                <w:b/>
                <w:color w:val="000000"/>
                <w:sz w:val="24"/>
              </w:rPr>
            </w:pPr>
            <w:r>
              <w:rPr>
                <w:b/>
                <w:color w:val="000000"/>
                <w:sz w:val="24"/>
              </w:rPr>
              <w:t>3.3.3噪声排放标准</w:t>
            </w:r>
          </w:p>
          <w:p>
            <w:pPr>
              <w:tabs>
                <w:tab w:val="left" w:pos="0"/>
              </w:tabs>
              <w:spacing w:line="360" w:lineRule="auto"/>
              <w:ind w:firstLine="480" w:firstLineChars="200"/>
              <w:rPr>
                <w:color w:val="000000"/>
                <w:sz w:val="24"/>
              </w:rPr>
            </w:pPr>
            <w:r>
              <w:rPr>
                <w:color w:val="000000"/>
                <w:sz w:val="24"/>
              </w:rPr>
              <w:t>本项目营运期厂界噪声排放执行《工业企业厂界环境噪声排放标准》（GB12348-2008）表1中3类标准。</w:t>
            </w:r>
          </w:p>
          <w:p>
            <w:pPr>
              <w:tabs>
                <w:tab w:val="left" w:pos="0"/>
              </w:tabs>
              <w:spacing w:before="60"/>
              <w:jc w:val="center"/>
              <w:rPr>
                <w:b/>
                <w:color w:val="000000"/>
                <w:sz w:val="24"/>
              </w:rPr>
            </w:pPr>
          </w:p>
          <w:p>
            <w:pPr>
              <w:tabs>
                <w:tab w:val="left" w:pos="0"/>
              </w:tabs>
              <w:spacing w:before="60"/>
              <w:jc w:val="center"/>
              <w:rPr>
                <w:b/>
                <w:color w:val="000000"/>
                <w:sz w:val="24"/>
              </w:rPr>
            </w:pPr>
          </w:p>
          <w:p>
            <w:pPr>
              <w:tabs>
                <w:tab w:val="left" w:pos="0"/>
              </w:tabs>
              <w:spacing w:before="60"/>
              <w:jc w:val="center"/>
              <w:rPr>
                <w:b/>
                <w:color w:val="000000"/>
                <w:sz w:val="24"/>
              </w:rPr>
            </w:pPr>
          </w:p>
          <w:p>
            <w:pPr>
              <w:tabs>
                <w:tab w:val="left" w:pos="0"/>
              </w:tabs>
              <w:spacing w:before="60"/>
              <w:jc w:val="center"/>
              <w:rPr>
                <w:b/>
                <w:color w:val="000000"/>
                <w:sz w:val="24"/>
              </w:rPr>
            </w:pPr>
            <w:r>
              <w:rPr>
                <w:b/>
                <w:color w:val="000000"/>
                <w:sz w:val="24"/>
              </w:rPr>
              <w:t>表3-9  环境噪声排放标准</w:t>
            </w:r>
          </w:p>
          <w:tbl>
            <w:tblPr>
              <w:tblStyle w:val="20"/>
              <w:tblW w:w="5000"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277"/>
              <w:gridCol w:w="3640"/>
              <w:gridCol w:w="967"/>
              <w:gridCol w:w="868"/>
              <w:gridCol w:w="879"/>
              <w:gridCol w:w="879"/>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cantSplit/>
                <w:trHeight w:val="340" w:hRule="atLeast"/>
                <w:jc w:val="center"/>
              </w:trPr>
              <w:tc>
                <w:tcPr>
                  <w:tcW w:w="750" w:type="pct"/>
                  <w:vMerge w:val="restart"/>
                  <w:tcBorders>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厂界名</w:t>
                  </w:r>
                </w:p>
              </w:tc>
              <w:tc>
                <w:tcPr>
                  <w:tcW w:w="2138" w:type="pct"/>
                  <w:vMerge w:val="restart"/>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执行标准</w:t>
                  </w:r>
                </w:p>
              </w:tc>
              <w:tc>
                <w:tcPr>
                  <w:tcW w:w="568" w:type="pct"/>
                  <w:vMerge w:val="restart"/>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级别</w:t>
                  </w:r>
                </w:p>
              </w:tc>
              <w:tc>
                <w:tcPr>
                  <w:tcW w:w="510" w:type="pct"/>
                  <w:vMerge w:val="restart"/>
                  <w:tcBorders>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单位</w:t>
                  </w:r>
                </w:p>
              </w:tc>
              <w:tc>
                <w:tcPr>
                  <w:tcW w:w="1032" w:type="pct"/>
                  <w:gridSpan w:val="2"/>
                  <w:tcBorders>
                    <w:left w:val="single" w:color="000000" w:sz="4" w:space="0"/>
                    <w:bottom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标准限值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750" w:type="pct"/>
                  <w:vMerge w:val="continue"/>
                  <w:tcBorders>
                    <w:top w:val="single" w:color="000000" w:sz="4" w:space="0"/>
                    <w:bottom w:val="single" w:color="000000" w:sz="4" w:space="0"/>
                    <w:right w:val="single" w:color="000000" w:sz="4" w:space="0"/>
                  </w:tcBorders>
                  <w:vAlign w:val="center"/>
                </w:tcPr>
                <w:p>
                  <w:pPr>
                    <w:widowControl/>
                    <w:jc w:val="left"/>
                    <w:rPr>
                      <w:b/>
                      <w:color w:val="000000"/>
                      <w:spacing w:val="4"/>
                      <w:kern w:val="0"/>
                      <w:szCs w:val="20"/>
                    </w:rPr>
                  </w:pPr>
                </w:p>
              </w:tc>
              <w:tc>
                <w:tcPr>
                  <w:tcW w:w="213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b/>
                      <w:color w:val="000000"/>
                      <w:spacing w:val="4"/>
                      <w:kern w:val="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b/>
                      <w:color w:val="000000"/>
                      <w:spacing w:val="4"/>
                      <w:kern w:val="0"/>
                      <w:szCs w:val="20"/>
                    </w:rPr>
                  </w:pPr>
                </w:p>
              </w:tc>
              <w:tc>
                <w:tcPr>
                  <w:tcW w:w="51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b/>
                      <w:color w:val="000000"/>
                      <w:spacing w:val="4"/>
                      <w:kern w:val="0"/>
                      <w:szCs w:val="20"/>
                    </w:rPr>
                  </w:pPr>
                </w:p>
              </w:tc>
              <w:tc>
                <w:tcPr>
                  <w:tcW w:w="516" w:type="pct"/>
                  <w:tcBorders>
                    <w:top w:val="single" w:color="000000" w:sz="4" w:space="0"/>
                    <w:left w:val="single" w:color="000000" w:sz="4" w:space="0"/>
                    <w:bottom w:val="single" w:color="000000" w:sz="4" w:space="0"/>
                    <w:right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昼</w:t>
                  </w:r>
                </w:p>
              </w:tc>
              <w:tc>
                <w:tcPr>
                  <w:tcW w:w="516" w:type="pct"/>
                  <w:tcBorders>
                    <w:top w:val="single" w:color="000000" w:sz="4" w:space="0"/>
                    <w:left w:val="single" w:color="000000" w:sz="4" w:space="0"/>
                    <w:bottom w:val="single" w:color="000000" w:sz="4" w:space="0"/>
                  </w:tcBorders>
                  <w:vAlign w:val="center"/>
                </w:tcPr>
                <w:p>
                  <w:pPr>
                    <w:tabs>
                      <w:tab w:val="left" w:pos="0"/>
                    </w:tabs>
                    <w:adjustRightInd w:val="0"/>
                    <w:snapToGrid w:val="0"/>
                    <w:jc w:val="center"/>
                    <w:rPr>
                      <w:b/>
                      <w:color w:val="000000"/>
                      <w:spacing w:val="4"/>
                      <w:kern w:val="0"/>
                      <w:szCs w:val="20"/>
                    </w:rPr>
                  </w:pPr>
                  <w:r>
                    <w:rPr>
                      <w:b/>
                      <w:color w:val="000000"/>
                      <w:spacing w:val="4"/>
                      <w:kern w:val="0"/>
                      <w:szCs w:val="20"/>
                    </w:rPr>
                    <w:t>夜</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750" w:type="pct"/>
                  <w:tcBorders>
                    <w:top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厂界外1m</w:t>
                  </w:r>
                </w:p>
              </w:tc>
              <w:tc>
                <w:tcPr>
                  <w:tcW w:w="2138" w:type="pc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《工业企业厂界环境噪声排放标准》（GB12348-2008）</w:t>
                  </w:r>
                </w:p>
              </w:tc>
              <w:tc>
                <w:tcPr>
                  <w:tcW w:w="568" w:type="pc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3类</w:t>
                  </w:r>
                </w:p>
              </w:tc>
              <w:tc>
                <w:tcPr>
                  <w:tcW w:w="510" w:type="pc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dB（A）</w:t>
                  </w:r>
                </w:p>
              </w:tc>
              <w:tc>
                <w:tcPr>
                  <w:tcW w:w="516" w:type="pct"/>
                  <w:tcBorders>
                    <w:top w:val="single" w:color="000000" w:sz="4" w:space="0"/>
                    <w:left w:val="single" w:color="000000" w:sz="4" w:space="0"/>
                    <w:righ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65</w:t>
                  </w:r>
                </w:p>
              </w:tc>
              <w:tc>
                <w:tcPr>
                  <w:tcW w:w="516" w:type="pct"/>
                  <w:tcBorders>
                    <w:top w:val="single" w:color="000000" w:sz="4" w:space="0"/>
                    <w:left w:val="single" w:color="000000" w:sz="4" w:space="0"/>
                  </w:tcBorders>
                  <w:vAlign w:val="center"/>
                </w:tcPr>
                <w:p>
                  <w:pPr>
                    <w:tabs>
                      <w:tab w:val="left" w:pos="0"/>
                    </w:tabs>
                    <w:adjustRightInd w:val="0"/>
                    <w:snapToGrid w:val="0"/>
                    <w:jc w:val="center"/>
                    <w:rPr>
                      <w:color w:val="000000"/>
                      <w:spacing w:val="4"/>
                      <w:kern w:val="0"/>
                      <w:szCs w:val="20"/>
                    </w:rPr>
                  </w:pPr>
                  <w:r>
                    <w:rPr>
                      <w:color w:val="000000"/>
                      <w:spacing w:val="4"/>
                      <w:kern w:val="0"/>
                      <w:szCs w:val="20"/>
                    </w:rPr>
                    <w:t>55</w:t>
                  </w:r>
                </w:p>
              </w:tc>
            </w:tr>
          </w:tbl>
          <w:p>
            <w:pPr>
              <w:tabs>
                <w:tab w:val="left" w:pos="0"/>
              </w:tabs>
              <w:spacing w:line="360" w:lineRule="auto"/>
              <w:jc w:val="left"/>
              <w:rPr>
                <w:b/>
                <w:color w:val="000000"/>
                <w:sz w:val="24"/>
              </w:rPr>
            </w:pPr>
            <w:r>
              <w:rPr>
                <w:b/>
                <w:color w:val="000000"/>
                <w:sz w:val="24"/>
              </w:rPr>
              <w:t>3.3.4固废控制标准</w:t>
            </w:r>
          </w:p>
          <w:p>
            <w:pPr>
              <w:adjustRightInd w:val="0"/>
              <w:snapToGrid w:val="0"/>
              <w:spacing w:line="360" w:lineRule="auto"/>
              <w:ind w:firstLine="480" w:firstLineChars="200"/>
              <w:rPr>
                <w:color w:val="000000"/>
                <w:kern w:val="0"/>
                <w:szCs w:val="21"/>
                <w:highlight w:val="yellow"/>
              </w:rPr>
            </w:pPr>
            <w:r>
              <w:rPr>
                <w:color w:val="000000"/>
                <w:sz w:val="24"/>
              </w:rPr>
              <w:t>项目产生的一般工业固体废物贮存、处置执行《一般工业固体废物贮存和填埋污染控制标准》（GB 18599-2020）中的相关规定要求；危险废物严格执行</w:t>
            </w:r>
            <w:r>
              <w:rPr>
                <w:rFonts w:hint="eastAsia"/>
                <w:color w:val="000000"/>
                <w:sz w:val="24"/>
              </w:rPr>
              <w:t>《危险废物贮存污染控制标准》（GB18597-2023）</w:t>
            </w:r>
            <w:r>
              <w:rPr>
                <w:color w:val="000000"/>
                <w:sz w:val="24"/>
              </w:rPr>
              <w:t>（20</w:t>
            </w:r>
            <w:r>
              <w:rPr>
                <w:rFonts w:hint="eastAsia"/>
                <w:color w:val="000000"/>
                <w:sz w:val="24"/>
              </w:rPr>
              <w:t>2</w:t>
            </w:r>
            <w:r>
              <w:rPr>
                <w:color w:val="000000"/>
                <w:sz w:val="24"/>
              </w:rPr>
              <w:t>3 年修订）中的相关规定要求。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vAlign w:val="center"/>
          </w:tcPr>
          <w:p>
            <w:pPr>
              <w:adjustRightInd w:val="0"/>
              <w:snapToGrid w:val="0"/>
              <w:jc w:val="center"/>
              <w:rPr>
                <w:color w:val="000000"/>
                <w:kern w:val="0"/>
                <w:sz w:val="24"/>
              </w:rPr>
            </w:pPr>
            <w:r>
              <w:rPr>
                <w:color w:val="000000"/>
                <w:kern w:val="0"/>
                <w:sz w:val="24"/>
              </w:rPr>
              <w:t>总量</w:t>
            </w:r>
          </w:p>
          <w:p>
            <w:pPr>
              <w:adjustRightInd w:val="0"/>
              <w:snapToGrid w:val="0"/>
              <w:jc w:val="center"/>
              <w:rPr>
                <w:color w:val="000000"/>
                <w:kern w:val="0"/>
                <w:sz w:val="24"/>
              </w:rPr>
            </w:pPr>
            <w:r>
              <w:rPr>
                <w:color w:val="000000"/>
                <w:kern w:val="0"/>
                <w:sz w:val="24"/>
              </w:rPr>
              <w:t>控制</w:t>
            </w:r>
          </w:p>
          <w:p>
            <w:pPr>
              <w:adjustRightInd w:val="0"/>
              <w:snapToGrid w:val="0"/>
              <w:jc w:val="center"/>
              <w:rPr>
                <w:color w:val="000000"/>
                <w:kern w:val="0"/>
                <w:szCs w:val="21"/>
                <w:highlight w:val="yellow"/>
              </w:rPr>
            </w:pPr>
            <w:r>
              <w:rPr>
                <w:color w:val="000000"/>
                <w:kern w:val="0"/>
                <w:sz w:val="24"/>
              </w:rPr>
              <w:t>指标</w:t>
            </w:r>
          </w:p>
        </w:tc>
        <w:tc>
          <w:tcPr>
            <w:tcW w:w="8726" w:type="dxa"/>
            <w:vAlign w:val="center"/>
          </w:tcPr>
          <w:p>
            <w:pPr>
              <w:tabs>
                <w:tab w:val="left" w:pos="0"/>
              </w:tabs>
              <w:spacing w:before="60" w:line="360" w:lineRule="auto"/>
              <w:rPr>
                <w:b/>
                <w:color w:val="000000"/>
                <w:sz w:val="24"/>
              </w:rPr>
            </w:pPr>
            <w:r>
              <w:rPr>
                <w:b/>
                <w:color w:val="000000"/>
                <w:sz w:val="24"/>
              </w:rPr>
              <w:t>3.4总量控制因子和排放指标：</w:t>
            </w:r>
          </w:p>
          <w:p>
            <w:pPr>
              <w:tabs>
                <w:tab w:val="left" w:pos="0"/>
              </w:tabs>
              <w:spacing w:line="360" w:lineRule="auto"/>
              <w:ind w:firstLine="480"/>
              <w:jc w:val="left"/>
              <w:rPr>
                <w:color w:val="000000"/>
                <w:sz w:val="24"/>
              </w:rPr>
            </w:pPr>
            <w:bookmarkStart w:id="10" w:name="_Toc143484166"/>
            <w:bookmarkStart w:id="11" w:name="_Toc133130050"/>
            <w:bookmarkStart w:id="12" w:name="_Toc144030401"/>
            <w:bookmarkStart w:id="13" w:name="_Toc143484018"/>
            <w:r>
              <w:rPr>
                <w:color w:val="000000"/>
                <w:sz w:val="24"/>
              </w:rPr>
              <w:t>（1）总量控制因子</w:t>
            </w:r>
            <w:bookmarkEnd w:id="10"/>
            <w:bookmarkEnd w:id="11"/>
            <w:bookmarkEnd w:id="12"/>
            <w:bookmarkEnd w:id="13"/>
          </w:p>
          <w:p>
            <w:pPr>
              <w:tabs>
                <w:tab w:val="left" w:pos="0"/>
              </w:tabs>
              <w:spacing w:line="360" w:lineRule="auto"/>
              <w:ind w:firstLine="480" w:firstLineChars="200"/>
              <w:rPr>
                <w:color w:val="000000"/>
                <w:sz w:val="24"/>
                <w:szCs w:val="28"/>
              </w:rPr>
            </w:pPr>
            <w:r>
              <w:rPr>
                <w:color w:val="000000"/>
                <w:sz w:val="24"/>
                <w:szCs w:val="28"/>
              </w:rPr>
              <w:t>按照国家和省总量控制的规定，结合本建设项目的具体排污特征，确定本项目的水污染物总量控制因子：COD、氨氮、总磷、总氮；水污染物排放考核因子：SS</w:t>
            </w:r>
            <w:bookmarkStart w:id="14" w:name="_Toc143484167"/>
            <w:bookmarkStart w:id="15" w:name="_Toc144030402"/>
            <w:bookmarkStart w:id="16" w:name="_Toc133130051"/>
            <w:bookmarkStart w:id="17" w:name="_Toc143484019"/>
            <w:r>
              <w:rPr>
                <w:color w:val="000000"/>
                <w:sz w:val="24"/>
                <w:szCs w:val="28"/>
              </w:rPr>
              <w:t>；大气污染物总量控制因子：VOCs（以非甲烷总烃计）、大气污染物排放考核因子：锡及其化合物。</w:t>
            </w:r>
          </w:p>
          <w:p>
            <w:pPr>
              <w:tabs>
                <w:tab w:val="left" w:pos="0"/>
              </w:tabs>
              <w:spacing w:line="360" w:lineRule="auto"/>
              <w:ind w:firstLine="480" w:firstLineChars="200"/>
              <w:rPr>
                <w:color w:val="000000"/>
                <w:sz w:val="24"/>
                <w:szCs w:val="28"/>
              </w:rPr>
            </w:pPr>
            <w:r>
              <w:rPr>
                <w:color w:val="000000"/>
                <w:sz w:val="24"/>
              </w:rPr>
              <w:t>（2）项目总量控制建议指标</w:t>
            </w:r>
            <w:bookmarkEnd w:id="14"/>
            <w:bookmarkEnd w:id="15"/>
            <w:bookmarkEnd w:id="16"/>
            <w:bookmarkEnd w:id="17"/>
          </w:p>
          <w:p>
            <w:pPr>
              <w:tabs>
                <w:tab w:val="left" w:pos="0"/>
              </w:tabs>
              <w:spacing w:before="60"/>
              <w:jc w:val="center"/>
              <w:rPr>
                <w:b/>
                <w:color w:val="000000"/>
                <w:sz w:val="24"/>
              </w:rPr>
            </w:pPr>
            <w:r>
              <w:rPr>
                <w:b/>
                <w:color w:val="000000"/>
                <w:sz w:val="24"/>
              </w:rPr>
              <w:t xml:space="preserve">表3-10  </w:t>
            </w:r>
            <w:r>
              <w:rPr>
                <w:rFonts w:hint="eastAsia"/>
                <w:b/>
                <w:color w:val="000000"/>
                <w:sz w:val="24"/>
              </w:rPr>
              <w:t>本</w:t>
            </w:r>
            <w:r>
              <w:rPr>
                <w:b/>
                <w:color w:val="000000"/>
                <w:sz w:val="24"/>
              </w:rPr>
              <w:t>项目污染物排放总量指标（单位：t/a）</w:t>
            </w:r>
          </w:p>
          <w:tbl>
            <w:tblPr>
              <w:tblStyle w:val="2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669"/>
              <w:gridCol w:w="1366"/>
              <w:gridCol w:w="1347"/>
              <w:gridCol w:w="1637"/>
              <w:gridCol w:w="1591"/>
              <w:gridCol w:w="12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3" w:type="pct"/>
                  <w:gridSpan w:val="2"/>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种类</w:t>
                  </w:r>
                </w:p>
              </w:tc>
              <w:tc>
                <w:tcPr>
                  <w:tcW w:w="802"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污染物名称</w:t>
                  </w:r>
                </w:p>
              </w:tc>
              <w:tc>
                <w:tcPr>
                  <w:tcW w:w="791"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产生量</w:t>
                  </w:r>
                </w:p>
              </w:tc>
              <w:tc>
                <w:tcPr>
                  <w:tcW w:w="961" w:type="pct"/>
                  <w:vAlign w:val="center"/>
                </w:tcPr>
                <w:p>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消减量</w:t>
                  </w:r>
                </w:p>
              </w:tc>
              <w:tc>
                <w:tcPr>
                  <w:tcW w:w="934" w:type="pct"/>
                  <w:vAlign w:val="center"/>
                </w:tcPr>
                <w:p>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排放量</w:t>
                  </w:r>
                </w:p>
              </w:tc>
              <w:tc>
                <w:tcPr>
                  <w:tcW w:w="736" w:type="pct"/>
                  <w:vAlign w:val="center"/>
                </w:tcPr>
                <w:p>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申请量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80" w:type="pct"/>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393" w:type="pct"/>
                  <w:vMerge w:val="restart"/>
                  <w:shd w:val="clear" w:color="auto" w:fill="auto"/>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802"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废水量</w:t>
                  </w:r>
                </w:p>
              </w:tc>
              <w:tc>
                <w:tcPr>
                  <w:tcW w:w="7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spacing w:val="4"/>
                    </w:rPr>
                    <w:t>5100</w:t>
                  </w:r>
                </w:p>
              </w:tc>
              <w:tc>
                <w:tcPr>
                  <w:tcW w:w="961"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159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spacing w:val="4"/>
                    </w:rPr>
                    <w:t>5100</w:t>
                  </w:r>
                </w:p>
              </w:tc>
              <w:tc>
                <w:tcPr>
                  <w:tcW w:w="1253" w:type="dxa"/>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spacing w:val="4"/>
                    </w:rPr>
                    <w:t>5100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8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393" w:type="pct"/>
                  <w:vMerge w:val="continue"/>
                  <w:shd w:val="clear" w:color="auto" w:fill="auto"/>
                  <w:vAlign w:val="center"/>
                </w:tcPr>
                <w:p>
                  <w:pPr>
                    <w:adjustRightInd w:val="0"/>
                    <w:snapToGrid w:val="0"/>
                    <w:jc w:val="center"/>
                    <w:rPr>
                      <w:color w:val="000000" w:themeColor="text1"/>
                      <w:szCs w:val="21"/>
                      <w14:textFill>
                        <w14:solidFill>
                          <w14:schemeClr w14:val="tx1"/>
                        </w14:solidFill>
                      </w14:textFill>
                    </w:rPr>
                  </w:pPr>
                </w:p>
              </w:tc>
              <w:tc>
                <w:tcPr>
                  <w:tcW w:w="1366" w:type="dxa"/>
                  <w:vAlign w:val="center"/>
                </w:tcPr>
                <w:p>
                  <w:pPr>
                    <w:widowControl/>
                    <w:jc w:val="center"/>
                    <w:rPr>
                      <w:color w:val="000000" w:themeColor="text1"/>
                      <w:szCs w:val="21"/>
                      <w14:textFill>
                        <w14:solidFill>
                          <w14:schemeClr w14:val="tx1"/>
                        </w14:solidFill>
                      </w14:textFill>
                    </w:rPr>
                  </w:pPr>
                  <w:r>
                    <w:rPr>
                      <w:color w:val="000000"/>
                      <w:kern w:val="0"/>
                      <w:szCs w:val="21"/>
                    </w:rPr>
                    <w:t>COD</w:t>
                  </w:r>
                </w:p>
              </w:tc>
              <w:tc>
                <w:tcPr>
                  <w:tcW w:w="1347" w:type="dxa"/>
                  <w:shd w:val="clear" w:color="auto" w:fill="auto"/>
                  <w:vAlign w:val="center"/>
                </w:tcPr>
                <w:p>
                  <w:pPr>
                    <w:widowControl/>
                    <w:jc w:val="center"/>
                    <w:textAlignment w:val="center"/>
                    <w:rPr>
                      <w:color w:val="000000" w:themeColor="text1"/>
                      <w:szCs w:val="21"/>
                      <w14:textFill>
                        <w14:solidFill>
                          <w14:schemeClr w14:val="tx1"/>
                        </w14:solidFill>
                      </w14:textFill>
                    </w:rPr>
                  </w:pPr>
                  <w:r>
                    <w:rPr>
                      <w:rFonts w:hint="eastAsia"/>
                      <w:color w:val="000000"/>
                      <w:spacing w:val="4"/>
                    </w:rPr>
                    <w:t>2.55</w:t>
                  </w:r>
                </w:p>
              </w:tc>
              <w:tc>
                <w:tcPr>
                  <w:tcW w:w="961"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1591" w:type="dxa"/>
                  <w:shd w:val="clear" w:color="auto" w:fill="auto"/>
                  <w:vAlign w:val="center"/>
                </w:tcPr>
                <w:p>
                  <w:pPr>
                    <w:widowControl/>
                    <w:jc w:val="center"/>
                    <w:textAlignment w:val="center"/>
                    <w:rPr>
                      <w:color w:val="000000" w:themeColor="text1"/>
                      <w:szCs w:val="21"/>
                      <w14:textFill>
                        <w14:solidFill>
                          <w14:schemeClr w14:val="tx1"/>
                        </w14:solidFill>
                      </w14:textFill>
                    </w:rPr>
                  </w:pPr>
                  <w:r>
                    <w:rPr>
                      <w:rFonts w:hint="eastAsia"/>
                      <w:color w:val="000000"/>
                      <w:spacing w:val="4"/>
                    </w:rPr>
                    <w:t>2.55</w:t>
                  </w:r>
                </w:p>
              </w:tc>
              <w:tc>
                <w:tcPr>
                  <w:tcW w:w="1253" w:type="dxa"/>
                  <w:shd w:val="clear" w:color="auto" w:fill="auto"/>
                  <w:vAlign w:val="center"/>
                </w:tcPr>
                <w:p>
                  <w:pPr>
                    <w:widowControl/>
                    <w:jc w:val="center"/>
                    <w:textAlignment w:val="center"/>
                    <w:rPr>
                      <w:color w:val="000000" w:themeColor="text1"/>
                      <w:szCs w:val="21"/>
                      <w14:textFill>
                        <w14:solidFill>
                          <w14:schemeClr w14:val="tx1"/>
                        </w14:solidFill>
                      </w14:textFill>
                    </w:rPr>
                  </w:pPr>
                  <w:r>
                    <w:rPr>
                      <w:rFonts w:hint="eastAsia"/>
                      <w:color w:val="000000"/>
                      <w:spacing w:val="4"/>
                    </w:rPr>
                    <w:t>2.55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8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393" w:type="pct"/>
                  <w:vMerge w:val="continue"/>
                  <w:shd w:val="clear" w:color="auto" w:fill="auto"/>
                  <w:vAlign w:val="center"/>
                </w:tcPr>
                <w:p>
                  <w:pPr>
                    <w:adjustRightInd w:val="0"/>
                    <w:snapToGrid w:val="0"/>
                    <w:jc w:val="center"/>
                    <w:rPr>
                      <w:color w:val="000000" w:themeColor="text1"/>
                      <w:szCs w:val="21"/>
                      <w14:textFill>
                        <w14:solidFill>
                          <w14:schemeClr w14:val="tx1"/>
                        </w14:solidFill>
                      </w14:textFill>
                    </w:rPr>
                  </w:pPr>
                </w:p>
              </w:tc>
              <w:tc>
                <w:tcPr>
                  <w:tcW w:w="1366" w:type="dxa"/>
                  <w:vAlign w:val="center"/>
                </w:tcPr>
                <w:p>
                  <w:pPr>
                    <w:widowControl/>
                    <w:jc w:val="center"/>
                    <w:rPr>
                      <w:color w:val="000000" w:themeColor="text1"/>
                      <w:szCs w:val="21"/>
                      <w14:textFill>
                        <w14:solidFill>
                          <w14:schemeClr w14:val="tx1"/>
                        </w14:solidFill>
                      </w14:textFill>
                    </w:rPr>
                  </w:pPr>
                  <w:r>
                    <w:rPr>
                      <w:color w:val="000000"/>
                      <w:kern w:val="0"/>
                      <w:szCs w:val="21"/>
                    </w:rPr>
                    <w:t>SS</w:t>
                  </w:r>
                </w:p>
              </w:tc>
              <w:tc>
                <w:tcPr>
                  <w:tcW w:w="1347" w:type="dxa"/>
                  <w:shd w:val="clear" w:color="auto" w:fill="auto"/>
                  <w:vAlign w:val="center"/>
                </w:tcPr>
                <w:p>
                  <w:pPr>
                    <w:widowControl/>
                    <w:jc w:val="center"/>
                    <w:textAlignment w:val="center"/>
                    <w:rPr>
                      <w:color w:val="000000" w:themeColor="text1"/>
                      <w:szCs w:val="21"/>
                      <w14:textFill>
                        <w14:solidFill>
                          <w14:schemeClr w14:val="tx1"/>
                        </w14:solidFill>
                      </w14:textFill>
                    </w:rPr>
                  </w:pPr>
                  <w:r>
                    <w:rPr>
                      <w:rFonts w:hint="eastAsia"/>
                      <w:color w:val="000000"/>
                      <w:spacing w:val="4"/>
                    </w:rPr>
                    <w:t>2.04</w:t>
                  </w:r>
                </w:p>
              </w:tc>
              <w:tc>
                <w:tcPr>
                  <w:tcW w:w="961"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1591" w:type="dxa"/>
                  <w:shd w:val="clear" w:color="auto" w:fill="auto"/>
                  <w:vAlign w:val="center"/>
                </w:tcPr>
                <w:p>
                  <w:pPr>
                    <w:widowControl/>
                    <w:jc w:val="center"/>
                    <w:textAlignment w:val="center"/>
                    <w:rPr>
                      <w:color w:val="000000" w:themeColor="text1"/>
                      <w:szCs w:val="21"/>
                      <w14:textFill>
                        <w14:solidFill>
                          <w14:schemeClr w14:val="tx1"/>
                        </w14:solidFill>
                      </w14:textFill>
                    </w:rPr>
                  </w:pPr>
                  <w:r>
                    <w:rPr>
                      <w:rFonts w:hint="eastAsia"/>
                      <w:color w:val="000000"/>
                      <w:spacing w:val="4"/>
                    </w:rPr>
                    <w:t>2.04</w:t>
                  </w:r>
                </w:p>
              </w:tc>
              <w:tc>
                <w:tcPr>
                  <w:tcW w:w="1253" w:type="dxa"/>
                  <w:shd w:val="clear" w:color="auto" w:fill="auto"/>
                  <w:vAlign w:val="center"/>
                </w:tcPr>
                <w:p>
                  <w:pPr>
                    <w:widowControl/>
                    <w:jc w:val="center"/>
                    <w:textAlignment w:val="center"/>
                    <w:rPr>
                      <w:color w:val="000000" w:themeColor="text1"/>
                      <w:szCs w:val="21"/>
                      <w14:textFill>
                        <w14:solidFill>
                          <w14:schemeClr w14:val="tx1"/>
                        </w14:solidFill>
                      </w14:textFill>
                    </w:rPr>
                  </w:pPr>
                  <w:r>
                    <w:rPr>
                      <w:rFonts w:hint="eastAsia"/>
                      <w:color w:val="000000"/>
                      <w:spacing w:val="4"/>
                    </w:rPr>
                    <w:t>2.04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8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393" w:type="pct"/>
                  <w:vMerge w:val="continue"/>
                  <w:shd w:val="clear" w:color="auto" w:fill="auto"/>
                  <w:vAlign w:val="center"/>
                </w:tcPr>
                <w:p>
                  <w:pPr>
                    <w:adjustRightInd w:val="0"/>
                    <w:snapToGrid w:val="0"/>
                    <w:jc w:val="center"/>
                    <w:rPr>
                      <w:color w:val="000000" w:themeColor="text1"/>
                      <w:szCs w:val="21"/>
                      <w14:textFill>
                        <w14:solidFill>
                          <w14:schemeClr w14:val="tx1"/>
                        </w14:solidFill>
                      </w14:textFill>
                    </w:rPr>
                  </w:pPr>
                </w:p>
              </w:tc>
              <w:tc>
                <w:tcPr>
                  <w:tcW w:w="1366" w:type="dxa"/>
                  <w:vAlign w:val="center"/>
                </w:tcPr>
                <w:p>
                  <w:pPr>
                    <w:widowControl/>
                    <w:jc w:val="center"/>
                    <w:rPr>
                      <w:color w:val="000000" w:themeColor="text1"/>
                      <w:szCs w:val="21"/>
                      <w14:textFill>
                        <w14:solidFill>
                          <w14:schemeClr w14:val="tx1"/>
                        </w14:solidFill>
                      </w14:textFill>
                    </w:rPr>
                  </w:pPr>
                  <w:r>
                    <w:rPr>
                      <w:rFonts w:hint="eastAsia" w:ascii="宋体" w:hAnsi="宋体" w:cs="宋体"/>
                      <w:color w:val="000000"/>
                      <w:kern w:val="0"/>
                      <w:szCs w:val="21"/>
                    </w:rPr>
                    <w:t>氨氮</w:t>
                  </w:r>
                </w:p>
              </w:tc>
              <w:tc>
                <w:tcPr>
                  <w:tcW w:w="1347"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w:t>
                  </w:r>
                  <w:r>
                    <w:rPr>
                      <w:rFonts w:hint="eastAsia"/>
                      <w:color w:val="000000"/>
                      <w:spacing w:val="4"/>
                    </w:rPr>
                    <w:t>23</w:t>
                  </w:r>
                </w:p>
              </w:tc>
              <w:tc>
                <w:tcPr>
                  <w:tcW w:w="961"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1591"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w:t>
                  </w:r>
                  <w:r>
                    <w:rPr>
                      <w:rFonts w:hint="eastAsia"/>
                      <w:color w:val="000000"/>
                      <w:spacing w:val="4"/>
                    </w:rPr>
                    <w:t>23</w:t>
                  </w:r>
                </w:p>
              </w:tc>
              <w:tc>
                <w:tcPr>
                  <w:tcW w:w="1253"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w:t>
                  </w:r>
                  <w:r>
                    <w:rPr>
                      <w:rFonts w:hint="eastAsia"/>
                      <w:color w:val="000000"/>
                      <w:spacing w:val="4"/>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8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366" w:type="dxa"/>
                  <w:vAlign w:val="center"/>
                </w:tcPr>
                <w:p>
                  <w:pPr>
                    <w:widowControl/>
                    <w:jc w:val="center"/>
                    <w:rPr>
                      <w:color w:val="000000" w:themeColor="text1"/>
                      <w:szCs w:val="21"/>
                      <w14:textFill>
                        <w14:solidFill>
                          <w14:schemeClr w14:val="tx1"/>
                        </w14:solidFill>
                      </w14:textFill>
                    </w:rPr>
                  </w:pPr>
                  <w:r>
                    <w:rPr>
                      <w:rFonts w:hint="eastAsia" w:ascii="宋体" w:hAnsi="宋体" w:cs="宋体"/>
                      <w:color w:val="000000"/>
                      <w:kern w:val="0"/>
                      <w:szCs w:val="21"/>
                    </w:rPr>
                    <w:t>总磷</w:t>
                  </w:r>
                </w:p>
              </w:tc>
              <w:tc>
                <w:tcPr>
                  <w:tcW w:w="1347"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0.0</w:t>
                  </w:r>
                  <w:r>
                    <w:rPr>
                      <w:rFonts w:hint="eastAsia"/>
                      <w:color w:val="000000"/>
                      <w:spacing w:val="4"/>
                    </w:rPr>
                    <w:t>41</w:t>
                  </w:r>
                </w:p>
              </w:tc>
              <w:tc>
                <w:tcPr>
                  <w:tcW w:w="961"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1591"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0.0</w:t>
                  </w:r>
                  <w:r>
                    <w:rPr>
                      <w:rFonts w:hint="eastAsia"/>
                      <w:color w:val="000000"/>
                      <w:spacing w:val="4"/>
                    </w:rPr>
                    <w:t>41</w:t>
                  </w:r>
                </w:p>
              </w:tc>
              <w:tc>
                <w:tcPr>
                  <w:tcW w:w="1253"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0.0</w:t>
                  </w:r>
                  <w:r>
                    <w:rPr>
                      <w:rFonts w:hint="eastAsia"/>
                      <w:color w:val="000000"/>
                      <w:spacing w:val="4"/>
                    </w:rPr>
                    <w:t>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8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366" w:type="dxa"/>
                  <w:vAlign w:val="center"/>
                </w:tcPr>
                <w:p>
                  <w:pPr>
                    <w:widowControl/>
                    <w:jc w:val="center"/>
                    <w:rPr>
                      <w:color w:val="000000" w:themeColor="text1"/>
                      <w:szCs w:val="21"/>
                      <w14:textFill>
                        <w14:solidFill>
                          <w14:schemeClr w14:val="tx1"/>
                        </w14:solidFill>
                      </w14:textFill>
                    </w:rPr>
                  </w:pPr>
                  <w:r>
                    <w:rPr>
                      <w:rFonts w:hint="eastAsia" w:ascii="宋体" w:hAnsi="宋体" w:cs="宋体"/>
                      <w:color w:val="000000"/>
                      <w:kern w:val="0"/>
                      <w:szCs w:val="21"/>
                    </w:rPr>
                    <w:t>总氮</w:t>
                  </w:r>
                </w:p>
              </w:tc>
              <w:tc>
                <w:tcPr>
                  <w:tcW w:w="1347"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w:t>
                  </w:r>
                  <w:r>
                    <w:rPr>
                      <w:rFonts w:hint="eastAsia"/>
                      <w:color w:val="000000"/>
                      <w:spacing w:val="4"/>
                    </w:rPr>
                    <w:t>357</w:t>
                  </w:r>
                </w:p>
              </w:tc>
              <w:tc>
                <w:tcPr>
                  <w:tcW w:w="961"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1591"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w:t>
                  </w:r>
                  <w:r>
                    <w:rPr>
                      <w:rFonts w:hint="eastAsia"/>
                      <w:color w:val="000000"/>
                      <w:spacing w:val="4"/>
                    </w:rPr>
                    <w:t>357</w:t>
                  </w:r>
                </w:p>
              </w:tc>
              <w:tc>
                <w:tcPr>
                  <w:tcW w:w="1253" w:type="dxa"/>
                  <w:shd w:val="clear" w:color="auto" w:fill="auto"/>
                  <w:vAlign w:val="center"/>
                </w:tcPr>
                <w:p>
                  <w:pPr>
                    <w:widowControl/>
                    <w:jc w:val="center"/>
                    <w:textAlignment w:val="center"/>
                    <w:rPr>
                      <w:color w:val="000000" w:themeColor="text1"/>
                      <w:szCs w:val="21"/>
                      <w14:textFill>
                        <w14:solidFill>
                          <w14:schemeClr w14:val="tx1"/>
                        </w14:solidFill>
                      </w14:textFill>
                    </w:rPr>
                  </w:pPr>
                  <w:r>
                    <w:rPr>
                      <w:color w:val="000000"/>
                      <w:spacing w:val="4"/>
                    </w:rPr>
                    <w:t>0.</w:t>
                  </w:r>
                  <w:r>
                    <w:rPr>
                      <w:rFonts w:hint="eastAsia"/>
                      <w:color w:val="000000"/>
                      <w:spacing w:val="4"/>
                    </w:rPr>
                    <w:t>357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380"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393"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c>
                <w:tcPr>
                  <w:tcW w:w="802"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791" w:type="pct"/>
                  <w:vAlign w:val="center"/>
                </w:tcPr>
                <w:p>
                  <w:pPr>
                    <w:adjustRightInd w:val="0"/>
                    <w:snapToGrid w:val="0"/>
                    <w:jc w:val="center"/>
                    <w:rPr>
                      <w:rFonts w:hint="default" w:eastAsia="宋体"/>
                      <w:szCs w:val="21"/>
                      <w:lang w:val="en-US" w:eastAsia="zh-CN"/>
                    </w:rPr>
                  </w:pPr>
                  <w:r>
                    <w:rPr>
                      <w:rFonts w:hint="eastAsia"/>
                      <w:lang w:val="en-US" w:eastAsia="zh-CN"/>
                    </w:rPr>
                    <w:t>1.4141</w:t>
                  </w:r>
                </w:p>
              </w:tc>
              <w:tc>
                <w:tcPr>
                  <w:tcW w:w="961" w:type="pct"/>
                  <w:vAlign w:val="center"/>
                </w:tcPr>
                <w:p>
                  <w:pPr>
                    <w:adjustRightInd w:val="0"/>
                    <w:snapToGrid w:val="0"/>
                    <w:jc w:val="center"/>
                    <w:rPr>
                      <w:rFonts w:hint="default" w:eastAsia="宋体"/>
                      <w:szCs w:val="21"/>
                      <w:lang w:val="en-US" w:eastAsia="zh-CN"/>
                    </w:rPr>
                  </w:pPr>
                  <w:r>
                    <w:rPr>
                      <w:rFonts w:hint="eastAsia"/>
                      <w:szCs w:val="21"/>
                      <w:lang w:val="en-US" w:eastAsia="zh-CN"/>
                    </w:rPr>
                    <w:t>1.2964</w:t>
                  </w:r>
                </w:p>
              </w:tc>
              <w:tc>
                <w:tcPr>
                  <w:tcW w:w="934" w:type="pct"/>
                  <w:vAlign w:val="center"/>
                </w:tcPr>
                <w:p>
                  <w:pPr>
                    <w:adjustRightInd w:val="0"/>
                    <w:snapToGrid w:val="0"/>
                    <w:jc w:val="center"/>
                    <w:rPr>
                      <w:szCs w:val="21"/>
                    </w:rPr>
                  </w:pPr>
                  <w:r>
                    <w:rPr>
                      <w:rFonts w:hint="eastAsia"/>
                      <w:color w:val="000000"/>
                      <w:szCs w:val="21"/>
                      <w:lang w:val="en-US" w:eastAsia="zh-CN"/>
                    </w:rPr>
                    <w:t>0.1177</w:t>
                  </w:r>
                </w:p>
              </w:tc>
              <w:tc>
                <w:tcPr>
                  <w:tcW w:w="736" w:type="pct"/>
                  <w:vAlign w:val="center"/>
                </w:tcPr>
                <w:p>
                  <w:pPr>
                    <w:adjustRightInd w:val="0"/>
                    <w:snapToGrid w:val="0"/>
                    <w:jc w:val="center"/>
                    <w:rPr>
                      <w:szCs w:val="21"/>
                    </w:rPr>
                  </w:pPr>
                  <w:r>
                    <w:rPr>
                      <w:rFonts w:hint="eastAsia"/>
                      <w:color w:val="000000"/>
                      <w:szCs w:val="21"/>
                      <w:lang w:val="en-US" w:eastAsia="zh-CN"/>
                    </w:rPr>
                    <w:t>0.1177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380"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393"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c>
                <w:tcPr>
                  <w:tcW w:w="802"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791" w:type="pct"/>
                  <w:vAlign w:val="center"/>
                </w:tcPr>
                <w:p>
                  <w:pPr>
                    <w:adjustRightInd w:val="0"/>
                    <w:snapToGrid w:val="0"/>
                    <w:jc w:val="center"/>
                    <w:rPr>
                      <w:color w:val="FF0000"/>
                      <w:szCs w:val="21"/>
                    </w:rPr>
                  </w:pPr>
                  <w:r>
                    <w:rPr>
                      <w:rFonts w:hint="eastAsia"/>
                      <w:color w:val="000000"/>
                      <w:szCs w:val="21"/>
                      <w:lang w:val="en-US" w:eastAsia="zh-CN"/>
                    </w:rPr>
                    <w:t>0.13021</w:t>
                  </w:r>
                </w:p>
              </w:tc>
              <w:tc>
                <w:tcPr>
                  <w:tcW w:w="961" w:type="pct"/>
                  <w:vAlign w:val="center"/>
                </w:tcPr>
                <w:p>
                  <w:pPr>
                    <w:adjustRightInd w:val="0"/>
                    <w:snapToGrid w:val="0"/>
                    <w:jc w:val="center"/>
                    <w:rPr>
                      <w:rFonts w:hint="eastAsia" w:eastAsia="宋体"/>
                      <w:color w:val="FF0000"/>
                      <w:szCs w:val="21"/>
                      <w:lang w:eastAsia="zh-CN"/>
                    </w:rPr>
                  </w:pPr>
                  <w:r>
                    <w:rPr>
                      <w:rFonts w:hint="eastAsia"/>
                      <w:color w:val="auto"/>
                      <w:szCs w:val="21"/>
                      <w:lang w:val="en-US" w:eastAsia="zh-CN"/>
                    </w:rPr>
                    <w:t>0</w:t>
                  </w:r>
                </w:p>
              </w:tc>
              <w:tc>
                <w:tcPr>
                  <w:tcW w:w="934" w:type="pct"/>
                  <w:vAlign w:val="center"/>
                </w:tcPr>
                <w:p>
                  <w:pPr>
                    <w:adjustRightInd w:val="0"/>
                    <w:snapToGrid w:val="0"/>
                    <w:jc w:val="center"/>
                    <w:rPr>
                      <w:color w:val="FF0000"/>
                      <w:szCs w:val="21"/>
                    </w:rPr>
                  </w:pPr>
                  <w:r>
                    <w:rPr>
                      <w:rFonts w:hint="eastAsia"/>
                      <w:color w:val="000000"/>
                      <w:szCs w:val="21"/>
                      <w:lang w:val="en-US" w:eastAsia="zh-CN"/>
                    </w:rPr>
                    <w:t>0.13021</w:t>
                  </w:r>
                </w:p>
              </w:tc>
              <w:tc>
                <w:tcPr>
                  <w:tcW w:w="736" w:type="pct"/>
                  <w:vAlign w:val="center"/>
                </w:tcPr>
                <w:p>
                  <w:pPr>
                    <w:adjustRightInd w:val="0"/>
                    <w:snapToGrid w:val="0"/>
                    <w:jc w:val="center"/>
                    <w:rPr>
                      <w:color w:val="FF0000"/>
                      <w:szCs w:val="21"/>
                    </w:rPr>
                  </w:pPr>
                  <w:r>
                    <w:rPr>
                      <w:rFonts w:hint="eastAsia"/>
                      <w:color w:val="000000"/>
                      <w:szCs w:val="21"/>
                      <w:lang w:val="en-US" w:eastAsia="zh-CN"/>
                    </w:rPr>
                    <w:t>0.13021</w:t>
                  </w:r>
                </w:p>
              </w:tc>
            </w:tr>
          </w:tbl>
          <w:p>
            <w:pPr>
              <w:tabs>
                <w:tab w:val="left" w:pos="0"/>
              </w:tabs>
              <w:spacing w:line="360" w:lineRule="auto"/>
              <w:ind w:firstLine="480" w:firstLineChars="200"/>
              <w:jc w:val="left"/>
              <w:rPr>
                <w:color w:val="000000"/>
                <w:sz w:val="24"/>
              </w:rPr>
            </w:pPr>
            <w:r>
              <w:rPr>
                <w:color w:val="000000"/>
                <w:sz w:val="24"/>
              </w:rPr>
              <w:t>（3）总量平衡途径</w:t>
            </w:r>
          </w:p>
          <w:p>
            <w:pPr>
              <w:tabs>
                <w:tab w:val="left" w:pos="0"/>
              </w:tabs>
              <w:spacing w:line="360" w:lineRule="auto"/>
              <w:ind w:firstLine="480" w:firstLineChars="200"/>
              <w:rPr>
                <w:color w:val="000000"/>
                <w:sz w:val="24"/>
                <w:szCs w:val="28"/>
              </w:rPr>
            </w:pPr>
            <w:r>
              <w:rPr>
                <w:color w:val="000000"/>
                <w:sz w:val="24"/>
              </w:rPr>
              <w:t>本项目水污染物排放总量纳入</w:t>
            </w:r>
            <w:r>
              <w:rPr>
                <w:rFonts w:hint="eastAsia"/>
                <w:color w:val="000000"/>
                <w:sz w:val="24"/>
              </w:rPr>
              <w:t>科技城水质净化厂</w:t>
            </w:r>
            <w:r>
              <w:rPr>
                <w:color w:val="000000"/>
                <w:sz w:val="24"/>
              </w:rPr>
              <w:t>总量额度范围内，在</w:t>
            </w:r>
            <w:r>
              <w:rPr>
                <w:rFonts w:hint="eastAsia"/>
                <w:color w:val="000000"/>
                <w:sz w:val="24"/>
              </w:rPr>
              <w:t>科技城水质净化厂</w:t>
            </w:r>
            <w:r>
              <w:rPr>
                <w:color w:val="000000"/>
                <w:sz w:val="24"/>
              </w:rPr>
              <w:t>平衡；大气污染物在高新区内平衡；固体废弃物得到妥善处理，零排放。</w:t>
            </w:r>
          </w:p>
        </w:tc>
      </w:tr>
    </w:tbl>
    <w:p>
      <w:pPr>
        <w:pStyle w:val="17"/>
        <w:jc w:val="center"/>
        <w:outlineLvl w:val="0"/>
        <w:rPr>
          <w:rFonts w:ascii="Times New Roman" w:hAnsi="Times New Roman" w:eastAsia="黑体"/>
          <w:snapToGrid w:val="0"/>
          <w:sz w:val="30"/>
          <w:szCs w:val="30"/>
          <w:highlight w:val="yellow"/>
        </w:rPr>
      </w:pPr>
      <w:r>
        <w:rPr>
          <w:rFonts w:ascii="Times New Roman" w:hAnsi="Times New Roman" w:eastAsia="黑体"/>
          <w:snapToGrid w:val="0"/>
          <w:sz w:val="36"/>
          <w:szCs w:val="36"/>
          <w:highlight w:val="yellow"/>
        </w:rPr>
        <w:br w:type="page"/>
      </w:r>
      <w:bookmarkStart w:id="18" w:name="_Toc30295"/>
      <w:bookmarkStart w:id="22" w:name="_GoBack"/>
      <w:bookmarkEnd w:id="22"/>
      <w:r>
        <w:rPr>
          <w:rFonts w:ascii="Times New Roman" w:hAnsi="Times New Roman" w:eastAsia="黑体"/>
          <w:snapToGrid w:val="0"/>
          <w:sz w:val="30"/>
          <w:szCs w:val="30"/>
        </w:rPr>
        <w:t>四、主要环境影响和保护措施</w:t>
      </w:r>
      <w:bookmarkEnd w:id="18"/>
    </w:p>
    <w:tbl>
      <w:tblPr>
        <w:tblStyle w:val="20"/>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92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746" w:type="dxa"/>
            <w:tcMar>
              <w:left w:w="28" w:type="dxa"/>
              <w:right w:w="28" w:type="dxa"/>
            </w:tcMar>
            <w:vAlign w:val="center"/>
          </w:tcPr>
          <w:p>
            <w:pPr>
              <w:pStyle w:val="17"/>
              <w:adjustRightInd w:val="0"/>
              <w:snapToGrid w:val="0"/>
              <w:spacing w:before="0" w:beforeAutospacing="0" w:after="0" w:afterAutospacing="0"/>
              <w:jc w:val="center"/>
              <w:rPr>
                <w:rFonts w:ascii="Times New Roman" w:hAnsi="Times New Roman"/>
                <w:color w:val="000000"/>
                <w:kern w:val="2"/>
                <w:szCs w:val="24"/>
              </w:rPr>
            </w:pPr>
            <w:r>
              <w:rPr>
                <w:rFonts w:ascii="Times New Roman" w:hAnsi="Times New Roman"/>
                <w:color w:val="000000"/>
                <w:kern w:val="2"/>
                <w:szCs w:val="24"/>
              </w:rPr>
              <w:t>施工</w:t>
            </w:r>
          </w:p>
          <w:p>
            <w:pPr>
              <w:pStyle w:val="17"/>
              <w:adjustRightInd w:val="0"/>
              <w:snapToGrid w:val="0"/>
              <w:spacing w:before="0" w:beforeAutospacing="0" w:after="0" w:afterAutospacing="0"/>
              <w:jc w:val="center"/>
              <w:rPr>
                <w:rFonts w:ascii="Times New Roman" w:hAnsi="Times New Roman"/>
                <w:color w:val="000000"/>
                <w:kern w:val="2"/>
                <w:szCs w:val="24"/>
              </w:rPr>
            </w:pPr>
            <w:r>
              <w:rPr>
                <w:rFonts w:ascii="Times New Roman" w:hAnsi="Times New Roman"/>
                <w:color w:val="000000"/>
                <w:kern w:val="2"/>
                <w:szCs w:val="24"/>
              </w:rPr>
              <w:t>期环</w:t>
            </w:r>
          </w:p>
          <w:p>
            <w:pPr>
              <w:pStyle w:val="17"/>
              <w:adjustRightInd w:val="0"/>
              <w:snapToGrid w:val="0"/>
              <w:spacing w:before="0" w:beforeAutospacing="0" w:after="0" w:afterAutospacing="0"/>
              <w:jc w:val="center"/>
              <w:rPr>
                <w:rFonts w:ascii="Times New Roman" w:hAnsi="Times New Roman"/>
                <w:color w:val="000000"/>
                <w:kern w:val="2"/>
                <w:szCs w:val="24"/>
              </w:rPr>
            </w:pPr>
            <w:r>
              <w:rPr>
                <w:rFonts w:ascii="Times New Roman" w:hAnsi="Times New Roman"/>
                <w:color w:val="000000"/>
                <w:kern w:val="2"/>
                <w:szCs w:val="24"/>
              </w:rPr>
              <w:t>境保</w:t>
            </w:r>
          </w:p>
          <w:p>
            <w:pPr>
              <w:pStyle w:val="17"/>
              <w:adjustRightInd w:val="0"/>
              <w:snapToGrid w:val="0"/>
              <w:spacing w:before="0" w:beforeAutospacing="0" w:after="0" w:afterAutospacing="0"/>
              <w:jc w:val="center"/>
              <w:rPr>
                <w:rFonts w:ascii="Times New Roman" w:hAnsi="Times New Roman"/>
                <w:color w:val="000000"/>
                <w:kern w:val="2"/>
                <w:szCs w:val="24"/>
              </w:rPr>
            </w:pPr>
            <w:r>
              <w:rPr>
                <w:rFonts w:ascii="Times New Roman" w:hAnsi="Times New Roman"/>
                <w:color w:val="000000"/>
                <w:kern w:val="2"/>
                <w:szCs w:val="24"/>
              </w:rPr>
              <w:t>护措</w:t>
            </w:r>
          </w:p>
          <w:p>
            <w:pPr>
              <w:pStyle w:val="17"/>
              <w:adjustRightInd w:val="0"/>
              <w:snapToGrid w:val="0"/>
              <w:spacing w:before="0" w:beforeAutospacing="0" w:after="0" w:afterAutospacing="0"/>
              <w:jc w:val="center"/>
              <w:rPr>
                <w:rFonts w:ascii="Times New Roman" w:hAnsi="Times New Roman"/>
                <w:bCs/>
                <w:color w:val="000000"/>
                <w:kern w:val="2"/>
                <w:szCs w:val="24"/>
              </w:rPr>
            </w:pPr>
            <w:r>
              <w:rPr>
                <w:rFonts w:ascii="Times New Roman" w:hAnsi="Times New Roman"/>
                <w:color w:val="000000"/>
                <w:kern w:val="2"/>
                <w:szCs w:val="24"/>
              </w:rPr>
              <w:t>施</w:t>
            </w:r>
          </w:p>
        </w:tc>
        <w:tc>
          <w:tcPr>
            <w:tcW w:w="8162" w:type="dxa"/>
            <w:vAlign w:val="center"/>
          </w:tcPr>
          <w:p>
            <w:pPr>
              <w:adjustRightInd w:val="0"/>
              <w:snapToGrid w:val="0"/>
              <w:spacing w:line="360" w:lineRule="auto"/>
              <w:ind w:firstLine="480" w:firstLineChars="200"/>
              <w:jc w:val="left"/>
              <w:rPr>
                <w:color w:val="000000"/>
                <w:sz w:val="24"/>
              </w:rPr>
            </w:pPr>
            <w:r>
              <w:rPr>
                <w:color w:val="000000"/>
                <w:sz w:val="24"/>
              </w:rPr>
              <w:t>本项目利用已建厂房进行生产。无需进行土建，施工期只需要进行厂房的装修和设备的安装。施工期时间较短，对环境影响较小。</w:t>
            </w:r>
          </w:p>
          <w:p>
            <w:pPr>
              <w:adjustRightInd w:val="0"/>
              <w:snapToGrid w:val="0"/>
              <w:spacing w:line="360" w:lineRule="auto"/>
              <w:ind w:firstLine="480" w:firstLineChars="200"/>
              <w:jc w:val="left"/>
              <w:rPr>
                <w:bCs/>
                <w:color w:val="000000"/>
                <w:spacing w:val="-10"/>
                <w:szCs w:val="21"/>
              </w:rPr>
            </w:pPr>
            <w:r>
              <w:rPr>
                <w:color w:val="000000"/>
                <w:sz w:val="24"/>
              </w:rPr>
              <w:t>本项目施工期为设备安装调试，基本不产生污染。施工人员产生的生活污水接管网排入</w:t>
            </w:r>
            <w:r>
              <w:rPr>
                <w:rFonts w:hint="eastAsia"/>
                <w:color w:val="000000"/>
                <w:sz w:val="24"/>
              </w:rPr>
              <w:t>科技城水质净化厂</w:t>
            </w:r>
            <w:r>
              <w:rPr>
                <w:color w:val="000000"/>
                <w:sz w:val="24"/>
              </w:rPr>
              <w:t>。设备安装产生一定的噪声，噪声强度一般在75~100dB(A)，历时较短，经车间隔声减振、距离衰减等措施后，可有效降低噪声，对周围环境有影响较小。项目施工期产生的固体废物主要为设备安装调试人员生活产生的生活垃圾、管线布置产生的废弃物，统一收集后由环卫部门统一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tcMar>
              <w:left w:w="28" w:type="dxa"/>
              <w:right w:w="28" w:type="dxa"/>
            </w:tcMar>
            <w:vAlign w:val="center"/>
          </w:tcPr>
          <w:p>
            <w:pPr>
              <w:adjustRightInd w:val="0"/>
              <w:snapToGrid w:val="0"/>
              <w:jc w:val="center"/>
              <w:rPr>
                <w:bCs/>
                <w:color w:val="000000"/>
                <w:sz w:val="24"/>
              </w:rPr>
            </w:pPr>
            <w:r>
              <w:rPr>
                <w:bCs/>
                <w:color w:val="000000"/>
                <w:sz w:val="24"/>
              </w:rPr>
              <w:t>运营</w:t>
            </w:r>
          </w:p>
          <w:p>
            <w:pPr>
              <w:adjustRightInd w:val="0"/>
              <w:snapToGrid w:val="0"/>
              <w:jc w:val="center"/>
              <w:rPr>
                <w:bCs/>
                <w:color w:val="000000"/>
                <w:sz w:val="24"/>
              </w:rPr>
            </w:pPr>
            <w:r>
              <w:rPr>
                <w:bCs/>
                <w:color w:val="000000"/>
                <w:sz w:val="24"/>
              </w:rPr>
              <w:t>期环</w:t>
            </w:r>
          </w:p>
          <w:p>
            <w:pPr>
              <w:adjustRightInd w:val="0"/>
              <w:snapToGrid w:val="0"/>
              <w:jc w:val="center"/>
              <w:rPr>
                <w:bCs/>
                <w:color w:val="000000"/>
                <w:sz w:val="24"/>
              </w:rPr>
            </w:pPr>
            <w:r>
              <w:rPr>
                <w:bCs/>
                <w:color w:val="000000"/>
                <w:sz w:val="24"/>
              </w:rPr>
              <w:t>境影</w:t>
            </w:r>
          </w:p>
          <w:p>
            <w:pPr>
              <w:adjustRightInd w:val="0"/>
              <w:snapToGrid w:val="0"/>
              <w:jc w:val="center"/>
              <w:rPr>
                <w:bCs/>
                <w:color w:val="000000"/>
                <w:sz w:val="24"/>
              </w:rPr>
            </w:pPr>
            <w:r>
              <w:rPr>
                <w:bCs/>
                <w:color w:val="000000"/>
                <w:sz w:val="24"/>
              </w:rPr>
              <w:t>响和</w:t>
            </w:r>
          </w:p>
          <w:p>
            <w:pPr>
              <w:adjustRightInd w:val="0"/>
              <w:snapToGrid w:val="0"/>
              <w:jc w:val="center"/>
              <w:rPr>
                <w:bCs/>
                <w:color w:val="000000"/>
                <w:sz w:val="24"/>
              </w:rPr>
            </w:pPr>
            <w:r>
              <w:rPr>
                <w:bCs/>
                <w:color w:val="000000"/>
                <w:sz w:val="24"/>
              </w:rPr>
              <w:t>保护</w:t>
            </w:r>
          </w:p>
          <w:p>
            <w:pPr>
              <w:adjustRightInd w:val="0"/>
              <w:snapToGrid w:val="0"/>
              <w:jc w:val="center"/>
              <w:rPr>
                <w:color w:val="000000"/>
                <w:sz w:val="24"/>
                <w:highlight w:val="yellow"/>
              </w:rPr>
            </w:pPr>
            <w:r>
              <w:rPr>
                <w:bCs/>
                <w:color w:val="000000"/>
                <w:sz w:val="24"/>
              </w:rPr>
              <w:t>措施</w:t>
            </w:r>
          </w:p>
        </w:tc>
        <w:tc>
          <w:tcPr>
            <w:tcW w:w="8162" w:type="dxa"/>
            <w:vAlign w:val="center"/>
          </w:tcPr>
          <w:p>
            <w:pPr>
              <w:tabs>
                <w:tab w:val="left" w:pos="0"/>
              </w:tabs>
              <w:spacing w:line="360" w:lineRule="auto"/>
              <w:jc w:val="left"/>
              <w:rPr>
                <w:b/>
                <w:color w:val="000000"/>
                <w:sz w:val="24"/>
              </w:rPr>
            </w:pPr>
            <w:r>
              <w:rPr>
                <w:b/>
                <w:color w:val="000000"/>
                <w:sz w:val="24"/>
              </w:rPr>
              <w:t>4.1大气环境影响及防治措施分析</w:t>
            </w:r>
          </w:p>
          <w:p>
            <w:pPr>
              <w:tabs>
                <w:tab w:val="left" w:pos="0"/>
              </w:tabs>
              <w:spacing w:line="360" w:lineRule="auto"/>
              <w:jc w:val="left"/>
              <w:rPr>
                <w:b/>
                <w:color w:val="000000"/>
                <w:sz w:val="24"/>
              </w:rPr>
            </w:pPr>
            <w:r>
              <w:rPr>
                <w:b/>
                <w:color w:val="000000"/>
                <w:sz w:val="24"/>
              </w:rPr>
              <w:t>4.1.1废气源强及污染防治措施</w:t>
            </w:r>
          </w:p>
          <w:p>
            <w:pPr>
              <w:tabs>
                <w:tab w:val="left" w:pos="0"/>
              </w:tabs>
              <w:spacing w:line="360" w:lineRule="auto"/>
              <w:ind w:firstLine="480" w:firstLineChars="200"/>
              <w:rPr>
                <w:color w:val="000000"/>
                <w:sz w:val="24"/>
              </w:rPr>
            </w:pPr>
            <w:r>
              <w:rPr>
                <w:color w:val="000000"/>
                <w:sz w:val="24"/>
              </w:rPr>
              <w:t>（1）废气产污环节及源强分析</w:t>
            </w:r>
          </w:p>
          <w:p>
            <w:pPr>
              <w:tabs>
                <w:tab w:val="left" w:pos="0"/>
              </w:tabs>
              <w:spacing w:line="360" w:lineRule="auto"/>
              <w:ind w:firstLine="480" w:firstLineChars="200"/>
              <w:rPr>
                <w:color w:val="000000"/>
                <w:sz w:val="24"/>
              </w:rPr>
            </w:pPr>
            <w:r>
              <w:rPr>
                <w:color w:val="000000"/>
                <w:sz w:val="24"/>
              </w:rPr>
              <w:t>①清洗废气</w:t>
            </w:r>
          </w:p>
          <w:p>
            <w:pPr>
              <w:tabs>
                <w:tab w:val="left" w:pos="0"/>
              </w:tabs>
              <w:spacing w:line="360" w:lineRule="auto"/>
              <w:ind w:firstLine="480" w:firstLineChars="200"/>
              <w:rPr>
                <w:color w:val="000000"/>
              </w:rPr>
            </w:pPr>
            <w:r>
              <w:rPr>
                <w:color w:val="000000"/>
                <w:sz w:val="24"/>
              </w:rPr>
              <w:t>根据建设单位提供的原材料的使用情况，</w:t>
            </w:r>
            <w:r>
              <w:rPr>
                <w:rFonts w:hint="eastAsia"/>
                <w:color w:val="000000"/>
                <w:sz w:val="24"/>
                <w:lang w:eastAsia="zh-CN"/>
              </w:rPr>
              <w:t>网版</w:t>
            </w:r>
            <w:r>
              <w:rPr>
                <w:rFonts w:hint="eastAsia"/>
                <w:color w:val="000000"/>
                <w:sz w:val="24"/>
              </w:rPr>
              <w:t>清洗剂</w:t>
            </w:r>
            <w:r>
              <w:rPr>
                <w:color w:val="000000"/>
                <w:sz w:val="24"/>
              </w:rPr>
              <w:t>使用量为</w:t>
            </w:r>
            <w:r>
              <w:rPr>
                <w:rFonts w:hint="eastAsia"/>
                <w:color w:val="000000"/>
                <w:sz w:val="24"/>
                <w:lang w:val="en-US" w:eastAsia="zh-CN"/>
              </w:rPr>
              <w:t>1</w:t>
            </w:r>
            <w:r>
              <w:rPr>
                <w:color w:val="000000"/>
                <w:sz w:val="24"/>
              </w:rPr>
              <w:t>t/a，</w:t>
            </w:r>
            <w:r>
              <w:rPr>
                <w:rFonts w:hint="eastAsia"/>
                <w:color w:val="000000"/>
                <w:sz w:val="24"/>
                <w:lang w:val="en-US" w:eastAsia="zh-CN"/>
              </w:rPr>
              <w:t>密度为0.778g/cm³</w:t>
            </w:r>
            <w:r>
              <w:rPr>
                <w:rFonts w:hint="eastAsia"/>
                <w:color w:val="000000"/>
                <w:sz w:val="24"/>
              </w:rPr>
              <w:t>清洗剂</w:t>
            </w:r>
            <w:r>
              <w:rPr>
                <w:rFonts w:hint="eastAsia"/>
                <w:color w:val="000000"/>
                <w:sz w:val="24"/>
                <w:lang w:val="en-US" w:eastAsia="zh-CN"/>
              </w:rPr>
              <w:t>挥发份为260g/L</w:t>
            </w:r>
            <w:r>
              <w:rPr>
                <w:rFonts w:hint="eastAsia"/>
                <w:color w:val="000000"/>
                <w:sz w:val="24"/>
              </w:rPr>
              <w:t>，</w:t>
            </w:r>
            <w:r>
              <w:rPr>
                <w:rFonts w:hint="eastAsia"/>
                <w:color w:val="000000"/>
                <w:sz w:val="24"/>
                <w:lang w:val="en-US" w:eastAsia="zh-CN"/>
              </w:rPr>
              <w:t xml:space="preserve"> </w:t>
            </w:r>
            <w:r>
              <w:rPr>
                <w:color w:val="000000"/>
                <w:sz w:val="24"/>
              </w:rPr>
              <w:t>则废气（以非甲烷总烃计）产生量为</w:t>
            </w:r>
            <w:r>
              <w:rPr>
                <w:rFonts w:hint="eastAsia"/>
                <w:color w:val="000000"/>
                <w:sz w:val="24"/>
                <w:lang w:val="en-US" w:eastAsia="zh-CN"/>
              </w:rPr>
              <w:t>0.34</w:t>
            </w:r>
            <w:r>
              <w:rPr>
                <w:color w:val="000000"/>
                <w:sz w:val="24"/>
              </w:rPr>
              <w:t>t/a</w:t>
            </w:r>
            <w:r>
              <w:rPr>
                <w:rFonts w:hint="eastAsia"/>
                <w:color w:val="000000"/>
                <w:sz w:val="24"/>
                <w:lang w:eastAsia="zh-CN"/>
              </w:rPr>
              <w:t>，</w:t>
            </w:r>
            <w:r>
              <w:rPr>
                <w:rFonts w:hint="eastAsia"/>
                <w:color w:val="000000"/>
                <w:sz w:val="24"/>
                <w:lang w:val="en-US" w:eastAsia="zh-CN"/>
              </w:rPr>
              <w:t>废液产生约为0.172t/a</w:t>
            </w:r>
            <w:r>
              <w:rPr>
                <w:color w:val="000000"/>
                <w:sz w:val="24"/>
              </w:rPr>
              <w:t>。风量为1</w:t>
            </w:r>
            <w:r>
              <w:rPr>
                <w:rFonts w:hint="eastAsia"/>
                <w:color w:val="000000"/>
                <w:sz w:val="24"/>
              </w:rPr>
              <w:t>0</w:t>
            </w:r>
            <w:r>
              <w:rPr>
                <w:color w:val="000000"/>
                <w:sz w:val="24"/>
              </w:rPr>
              <w:t>000m</w:t>
            </w:r>
            <w:r>
              <w:rPr>
                <w:color w:val="000000"/>
                <w:sz w:val="24"/>
                <w:vertAlign w:val="superscript"/>
              </w:rPr>
              <w:t>3</w:t>
            </w:r>
            <w:r>
              <w:rPr>
                <w:color w:val="000000"/>
                <w:sz w:val="24"/>
              </w:rPr>
              <w:t>/h，清洗工艺工作时间3000h，则非甲烷总烃的产生浓度为</w:t>
            </w:r>
            <w:r>
              <w:rPr>
                <w:rFonts w:hint="eastAsia"/>
                <w:color w:val="000000"/>
                <w:sz w:val="24"/>
                <w:lang w:val="en-US" w:eastAsia="zh-CN"/>
              </w:rPr>
              <w:t>11</w:t>
            </w:r>
            <w:r>
              <w:rPr>
                <w:color w:val="000000"/>
                <w:sz w:val="24"/>
              </w:rPr>
              <w:t>mg</w:t>
            </w:r>
            <w:r>
              <w:rPr>
                <w:color w:val="000000"/>
                <w:spacing w:val="4"/>
                <w:sz w:val="24"/>
              </w:rPr>
              <w:t>/m</w:t>
            </w:r>
            <w:r>
              <w:rPr>
                <w:color w:val="000000"/>
                <w:spacing w:val="4"/>
                <w:sz w:val="24"/>
                <w:vertAlign w:val="superscript"/>
              </w:rPr>
              <w:t>3</w:t>
            </w:r>
            <w:r>
              <w:rPr>
                <w:color w:val="000000"/>
                <w:sz w:val="24"/>
              </w:rPr>
              <w:t>，产生速率为0.</w:t>
            </w:r>
            <w:r>
              <w:rPr>
                <w:rFonts w:hint="eastAsia"/>
                <w:color w:val="000000"/>
                <w:sz w:val="24"/>
                <w:lang w:val="en-US" w:eastAsia="zh-CN"/>
              </w:rPr>
              <w:t>11</w:t>
            </w:r>
            <w:r>
              <w:rPr>
                <w:color w:val="000000"/>
                <w:sz w:val="24"/>
              </w:rPr>
              <w:t>kg/h。</w:t>
            </w:r>
          </w:p>
          <w:p>
            <w:pPr>
              <w:tabs>
                <w:tab w:val="left" w:pos="0"/>
              </w:tabs>
              <w:spacing w:line="360" w:lineRule="auto"/>
              <w:ind w:firstLine="480" w:firstLineChars="200"/>
              <w:rPr>
                <w:color w:val="000000"/>
                <w:sz w:val="24"/>
              </w:rPr>
            </w:pPr>
            <w:r>
              <w:rPr>
                <w:color w:val="000000"/>
                <w:sz w:val="24"/>
              </w:rPr>
              <w:t>②回流焊废气</w:t>
            </w:r>
          </w:p>
          <w:p>
            <w:pPr>
              <w:tabs>
                <w:tab w:val="left" w:pos="0"/>
              </w:tabs>
              <w:spacing w:line="360" w:lineRule="auto"/>
              <w:ind w:firstLine="480" w:firstLineChars="200"/>
              <w:rPr>
                <w:color w:val="000000"/>
                <w:sz w:val="24"/>
              </w:rPr>
            </w:pPr>
            <w:r>
              <w:rPr>
                <w:color w:val="000000"/>
                <w:sz w:val="24"/>
              </w:rPr>
              <w:t>根据建设单位提供的原材料的使用情况，锡膏使用量为0.</w:t>
            </w:r>
            <w:r>
              <w:rPr>
                <w:rFonts w:hint="eastAsia"/>
                <w:color w:val="000000"/>
                <w:sz w:val="24"/>
              </w:rPr>
              <w:t>8</w:t>
            </w:r>
            <w:r>
              <w:rPr>
                <w:color w:val="000000"/>
                <w:sz w:val="24"/>
              </w:rPr>
              <w:t>t/a，锡膏成分为焊锡粉8</w:t>
            </w:r>
            <w:r>
              <w:rPr>
                <w:rFonts w:hint="eastAsia"/>
                <w:color w:val="000000"/>
                <w:sz w:val="24"/>
              </w:rPr>
              <w:t>0</w:t>
            </w:r>
            <w:r>
              <w:rPr>
                <w:color w:val="000000"/>
                <w:sz w:val="24"/>
              </w:rPr>
              <w:t>~</w:t>
            </w:r>
            <w:r>
              <w:rPr>
                <w:rFonts w:hint="eastAsia"/>
                <w:color w:val="000000"/>
                <w:sz w:val="24"/>
              </w:rPr>
              <w:t>90</w:t>
            </w:r>
            <w:r>
              <w:rPr>
                <w:color w:val="000000"/>
                <w:sz w:val="24"/>
              </w:rPr>
              <w:t>%、</w:t>
            </w:r>
            <w:r>
              <w:rPr>
                <w:rFonts w:hint="eastAsia"/>
                <w:color w:val="000000"/>
                <w:sz w:val="24"/>
              </w:rPr>
              <w:t xml:space="preserve">锡 </w:t>
            </w:r>
            <w:r>
              <w:rPr>
                <w:color w:val="000000"/>
                <w:sz w:val="24"/>
              </w:rPr>
              <w:t>80</w:t>
            </w:r>
            <w:r>
              <w:rPr>
                <w:rFonts w:hint="eastAsia"/>
                <w:color w:val="000000"/>
                <w:sz w:val="24"/>
              </w:rPr>
              <w:t>～</w:t>
            </w:r>
            <w:r>
              <w:rPr>
                <w:color w:val="000000"/>
                <w:sz w:val="24"/>
              </w:rPr>
              <w:t>90</w:t>
            </w:r>
            <w:r>
              <w:rPr>
                <w:rFonts w:hint="eastAsia"/>
                <w:color w:val="000000"/>
                <w:sz w:val="24"/>
              </w:rPr>
              <w:t xml:space="preserve">％、银 </w:t>
            </w:r>
            <w:r>
              <w:rPr>
                <w:color w:val="000000"/>
                <w:sz w:val="24"/>
              </w:rPr>
              <w:t>2.7</w:t>
            </w:r>
            <w:r>
              <w:rPr>
                <w:rFonts w:hint="eastAsia"/>
                <w:color w:val="000000"/>
                <w:sz w:val="24"/>
              </w:rPr>
              <w:t>%</w:t>
            </w:r>
            <w:r>
              <w:rPr>
                <w:color w:val="000000"/>
                <w:sz w:val="24"/>
              </w:rPr>
              <w:t xml:space="preserve"> </w:t>
            </w:r>
            <w:r>
              <w:rPr>
                <w:rFonts w:hint="eastAsia"/>
                <w:color w:val="000000"/>
                <w:sz w:val="24"/>
              </w:rPr>
              <w:t>铜0.1～3%，松香1～10%，溶剂松香1～10%，有机酸1~5%</w:t>
            </w:r>
            <w:r>
              <w:rPr>
                <w:color w:val="000000"/>
                <w:sz w:val="24"/>
              </w:rPr>
              <w:t>。类比同类厂家，锡膏中的溶剂</w:t>
            </w:r>
            <w:r>
              <w:rPr>
                <w:rFonts w:hint="eastAsia"/>
                <w:color w:val="000000"/>
                <w:sz w:val="24"/>
              </w:rPr>
              <w:t>松香和松香</w:t>
            </w:r>
            <w:r>
              <w:rPr>
                <w:color w:val="000000"/>
                <w:sz w:val="24"/>
              </w:rPr>
              <w:t>全部挥发，挥发量为</w:t>
            </w:r>
            <w:r>
              <w:rPr>
                <w:rFonts w:hint="eastAsia"/>
                <w:color w:val="000000"/>
                <w:sz w:val="24"/>
              </w:rPr>
              <w:t>0.16</w:t>
            </w:r>
            <w:r>
              <w:rPr>
                <w:color w:val="000000"/>
                <w:sz w:val="24"/>
              </w:rPr>
              <w:t>t/a。风量为1</w:t>
            </w:r>
            <w:r>
              <w:rPr>
                <w:rFonts w:hint="eastAsia"/>
                <w:color w:val="000000"/>
                <w:sz w:val="24"/>
              </w:rPr>
              <w:t>0</w:t>
            </w:r>
            <w:r>
              <w:rPr>
                <w:color w:val="000000"/>
                <w:sz w:val="24"/>
              </w:rPr>
              <w:t>000m</w:t>
            </w:r>
            <w:r>
              <w:rPr>
                <w:color w:val="000000"/>
                <w:sz w:val="24"/>
                <w:vertAlign w:val="superscript"/>
              </w:rPr>
              <w:t>3</w:t>
            </w:r>
            <w:r>
              <w:rPr>
                <w:color w:val="000000"/>
                <w:sz w:val="24"/>
              </w:rPr>
              <w:t>/h，工作时间为</w:t>
            </w:r>
            <w:r>
              <w:rPr>
                <w:rFonts w:hint="eastAsia"/>
                <w:color w:val="000000"/>
                <w:sz w:val="24"/>
              </w:rPr>
              <w:t>72</w:t>
            </w:r>
            <w:r>
              <w:rPr>
                <w:color w:val="000000"/>
                <w:sz w:val="24"/>
              </w:rPr>
              <w:t>00h，非甲烷总烃的产生浓度为</w:t>
            </w:r>
            <w:r>
              <w:rPr>
                <w:rFonts w:hint="eastAsia"/>
                <w:color w:val="000000"/>
                <w:sz w:val="24"/>
              </w:rPr>
              <w:t>2.2</w:t>
            </w:r>
            <w:r>
              <w:rPr>
                <w:color w:val="000000"/>
                <w:sz w:val="24"/>
              </w:rPr>
              <w:t>mg/m</w:t>
            </w:r>
            <w:r>
              <w:rPr>
                <w:color w:val="000000"/>
                <w:sz w:val="24"/>
                <w:vertAlign w:val="superscript"/>
              </w:rPr>
              <w:t>3</w:t>
            </w:r>
            <w:r>
              <w:rPr>
                <w:color w:val="000000"/>
                <w:sz w:val="24"/>
              </w:rPr>
              <w:t>，产生速率为0.0</w:t>
            </w:r>
            <w:r>
              <w:rPr>
                <w:rFonts w:hint="eastAsia"/>
                <w:color w:val="000000"/>
                <w:sz w:val="24"/>
              </w:rPr>
              <w:t>2</w:t>
            </w:r>
            <w:r>
              <w:rPr>
                <w:color w:val="000000"/>
                <w:sz w:val="24"/>
              </w:rPr>
              <w:t>2kg/h。</w:t>
            </w:r>
          </w:p>
          <w:p>
            <w:pPr>
              <w:tabs>
                <w:tab w:val="left" w:pos="0"/>
              </w:tabs>
              <w:spacing w:line="360" w:lineRule="auto"/>
              <w:ind w:firstLine="480" w:firstLineChars="200"/>
              <w:rPr>
                <w:color w:val="000000"/>
                <w:sz w:val="24"/>
              </w:rPr>
            </w:pPr>
            <w:r>
              <w:rPr>
                <w:rFonts w:hint="eastAsia"/>
                <w:color w:val="000000"/>
                <w:sz w:val="24"/>
              </w:rPr>
              <w:t>③补焊</w:t>
            </w:r>
            <w:r>
              <w:rPr>
                <w:color w:val="000000"/>
                <w:sz w:val="24"/>
              </w:rPr>
              <w:t>废气</w:t>
            </w:r>
            <w:r>
              <w:rPr>
                <w:rFonts w:hint="eastAsia"/>
                <w:color w:val="000000"/>
                <w:sz w:val="24"/>
              </w:rPr>
              <w:t>和波峰焊废气</w:t>
            </w:r>
          </w:p>
          <w:p>
            <w:pPr>
              <w:tabs>
                <w:tab w:val="left" w:pos="0"/>
              </w:tabs>
              <w:spacing w:line="360" w:lineRule="auto"/>
              <w:ind w:firstLine="480" w:firstLineChars="200"/>
              <w:rPr>
                <w:color w:val="000000"/>
                <w:sz w:val="24"/>
              </w:rPr>
            </w:pPr>
            <w:r>
              <w:rPr>
                <w:rFonts w:hint="eastAsia"/>
                <w:color w:val="000000"/>
                <w:sz w:val="24"/>
              </w:rPr>
              <w:t xml:space="preserve">项目波峰焊和补焊工序使用无铅锡丝（0.6t/a）和助焊剂（0.8t/a）为焊料，助焊剂成分为戊二酸、松香、甲氧苄啶、丁二酸、己二酸、乙二醇单丁醚、异丙醇和无水乙醇，全部为挥发分。助焊剂挥发分为 </w:t>
            </w:r>
            <w:r>
              <w:rPr>
                <w:color w:val="000000"/>
                <w:sz w:val="24"/>
              </w:rPr>
              <w:t>100%</w:t>
            </w:r>
            <w:r>
              <w:rPr>
                <w:rFonts w:hint="eastAsia"/>
                <w:color w:val="000000"/>
                <w:sz w:val="24"/>
              </w:rPr>
              <w:t>，全部挥发；无铅焊锡丝（</w:t>
            </w:r>
            <w:r>
              <w:rPr>
                <w:color w:val="000000"/>
                <w:sz w:val="24"/>
              </w:rPr>
              <w:t>0.</w:t>
            </w:r>
            <w:r>
              <w:rPr>
                <w:rFonts w:hint="eastAsia"/>
                <w:color w:val="000000"/>
                <w:sz w:val="24"/>
              </w:rPr>
              <w:t>6</w:t>
            </w:r>
            <w:r>
              <w:rPr>
                <w:color w:val="000000"/>
                <w:sz w:val="24"/>
              </w:rPr>
              <w:t>t/a</w:t>
            </w:r>
            <w:r>
              <w:rPr>
                <w:rFonts w:hint="eastAsia"/>
                <w:color w:val="000000"/>
                <w:sz w:val="24"/>
              </w:rPr>
              <w:t xml:space="preserve">）挥发分为松香，占比为 </w:t>
            </w:r>
            <w:r>
              <w:rPr>
                <w:color w:val="000000"/>
                <w:sz w:val="24"/>
              </w:rPr>
              <w:t>2%</w:t>
            </w:r>
            <w:r>
              <w:rPr>
                <w:rFonts w:hint="eastAsia"/>
                <w:color w:val="000000"/>
                <w:sz w:val="24"/>
              </w:rPr>
              <w:t>，以上挥发（以非甲烷总烃计）合计为0.8</w:t>
            </w:r>
            <w:r>
              <w:rPr>
                <w:color w:val="000000"/>
                <w:sz w:val="24"/>
              </w:rPr>
              <w:t>+</w:t>
            </w:r>
            <w:r>
              <w:rPr>
                <w:rFonts w:hint="eastAsia"/>
                <w:color w:val="000000"/>
                <w:sz w:val="24"/>
              </w:rPr>
              <w:t>0.6×</w:t>
            </w:r>
            <w:r>
              <w:rPr>
                <w:color w:val="000000"/>
                <w:sz w:val="24"/>
              </w:rPr>
              <w:t>0.02=</w:t>
            </w:r>
            <w:r>
              <w:rPr>
                <w:rFonts w:hint="eastAsia"/>
                <w:color w:val="000000"/>
                <w:sz w:val="24"/>
              </w:rPr>
              <w:t>0.812</w:t>
            </w:r>
            <w:r>
              <w:rPr>
                <w:color w:val="000000"/>
                <w:sz w:val="24"/>
              </w:rPr>
              <w:t>t/a</w:t>
            </w:r>
            <w:r>
              <w:rPr>
                <w:rFonts w:hint="eastAsia"/>
                <w:color w:val="000000"/>
                <w:sz w:val="24"/>
              </w:rPr>
              <w:t>，补焊废气和波峰焊废气收集风量为15000</w:t>
            </w:r>
            <w:r>
              <w:rPr>
                <w:color w:val="000000"/>
                <w:sz w:val="24"/>
              </w:rPr>
              <w:t>m</w:t>
            </w:r>
            <w:r>
              <w:rPr>
                <w:color w:val="000000"/>
                <w:sz w:val="24"/>
                <w:vertAlign w:val="superscript"/>
              </w:rPr>
              <w:t>3</w:t>
            </w:r>
            <w:r>
              <w:rPr>
                <w:color w:val="000000"/>
                <w:sz w:val="24"/>
              </w:rPr>
              <w:t>/h</w:t>
            </w:r>
            <w:r>
              <w:rPr>
                <w:rFonts w:hint="eastAsia"/>
                <w:color w:val="000000"/>
                <w:sz w:val="24"/>
              </w:rPr>
              <w:t>，</w:t>
            </w:r>
            <w:r>
              <w:rPr>
                <w:color w:val="000000"/>
                <w:sz w:val="24"/>
              </w:rPr>
              <w:t>非甲烷总烃的产生浓度为</w:t>
            </w:r>
            <w:r>
              <w:rPr>
                <w:rFonts w:hint="eastAsia"/>
                <w:color w:val="000000"/>
                <w:sz w:val="24"/>
              </w:rPr>
              <w:t>7.53</w:t>
            </w:r>
            <w:r>
              <w:rPr>
                <w:color w:val="000000"/>
                <w:sz w:val="24"/>
              </w:rPr>
              <w:t>mg/m</w:t>
            </w:r>
            <w:r>
              <w:rPr>
                <w:color w:val="000000"/>
                <w:sz w:val="24"/>
                <w:vertAlign w:val="superscript"/>
              </w:rPr>
              <w:t>3</w:t>
            </w:r>
            <w:r>
              <w:rPr>
                <w:color w:val="000000"/>
                <w:sz w:val="24"/>
              </w:rPr>
              <w:t>，产生速率为0.</w:t>
            </w:r>
            <w:r>
              <w:rPr>
                <w:rFonts w:hint="eastAsia"/>
                <w:color w:val="000000"/>
                <w:sz w:val="24"/>
              </w:rPr>
              <w:t>113</w:t>
            </w:r>
            <w:r>
              <w:rPr>
                <w:color w:val="000000"/>
                <w:sz w:val="24"/>
              </w:rPr>
              <w:t>kg/h</w:t>
            </w:r>
            <w:r>
              <w:rPr>
                <w:rFonts w:hint="eastAsia"/>
                <w:color w:val="000000"/>
                <w:sz w:val="24"/>
              </w:rPr>
              <w:t>。</w:t>
            </w:r>
          </w:p>
          <w:p>
            <w:pPr>
              <w:tabs>
                <w:tab w:val="left" w:pos="0"/>
              </w:tabs>
              <w:spacing w:line="360" w:lineRule="auto"/>
              <w:ind w:firstLine="480" w:firstLineChars="200"/>
              <w:rPr>
                <w:color w:val="000000"/>
                <w:sz w:val="24"/>
              </w:rPr>
            </w:pPr>
            <w:r>
              <w:rPr>
                <w:rFonts w:hint="eastAsia"/>
                <w:color w:val="000000"/>
                <w:sz w:val="24"/>
              </w:rPr>
              <w:t>④涂覆废气和固化废气</w:t>
            </w:r>
          </w:p>
          <w:p>
            <w:pPr>
              <w:tabs>
                <w:tab w:val="left" w:pos="0"/>
              </w:tabs>
              <w:spacing w:line="360" w:lineRule="auto"/>
              <w:ind w:firstLine="480" w:firstLineChars="200"/>
              <w:rPr>
                <w:color w:val="000000"/>
                <w:sz w:val="24"/>
              </w:rPr>
            </w:pPr>
            <w:r>
              <w:rPr>
                <w:rFonts w:hint="eastAsia"/>
                <w:color w:val="000000"/>
                <w:sz w:val="24"/>
              </w:rPr>
              <w:t xml:space="preserve"> 三防漆使用量为0.4t/a，</w:t>
            </w:r>
            <w:r>
              <w:rPr>
                <w:rFonts w:hint="eastAsia"/>
                <w:color w:val="000000"/>
                <w:sz w:val="24"/>
                <w:lang w:val="en-US" w:eastAsia="zh-CN"/>
              </w:rPr>
              <w:t>密度为0.83g/cm</w:t>
            </w:r>
            <w:r>
              <w:rPr>
                <w:rFonts w:hint="eastAsia"/>
                <w:color w:val="000000"/>
                <w:sz w:val="24"/>
                <w:vertAlign w:val="superscript"/>
                <w:lang w:val="en-US" w:eastAsia="zh-CN"/>
              </w:rPr>
              <w:t>3</w:t>
            </w:r>
            <w:r>
              <w:rPr>
                <w:rFonts w:hint="eastAsia"/>
                <w:color w:val="000000"/>
                <w:sz w:val="24"/>
              </w:rPr>
              <w:t>按照</w:t>
            </w:r>
            <w:r>
              <w:rPr>
                <w:rFonts w:hint="eastAsia"/>
                <w:color w:val="000000"/>
                <w:sz w:val="24"/>
                <w:lang w:val="en-US" w:eastAsia="zh-CN"/>
              </w:rPr>
              <w:t>109g/L挥发系数计算</w:t>
            </w:r>
            <w:r>
              <w:rPr>
                <w:rFonts w:hint="eastAsia"/>
                <w:color w:val="000000"/>
                <w:sz w:val="24"/>
              </w:rPr>
              <w:t>，涂覆和固化废气年产生量为0.</w:t>
            </w:r>
            <w:r>
              <w:rPr>
                <w:rFonts w:hint="eastAsia"/>
                <w:color w:val="000000"/>
                <w:sz w:val="24"/>
                <w:lang w:val="en-US" w:eastAsia="zh-CN"/>
              </w:rPr>
              <w:t>052</w:t>
            </w:r>
            <w:r>
              <w:rPr>
                <w:rFonts w:hint="eastAsia"/>
                <w:color w:val="000000"/>
                <w:sz w:val="24"/>
              </w:rPr>
              <w:t>t/a，废气收集风量为15000</w:t>
            </w:r>
            <w:r>
              <w:rPr>
                <w:color w:val="000000"/>
                <w:sz w:val="24"/>
              </w:rPr>
              <w:t>m</w:t>
            </w:r>
            <w:r>
              <w:rPr>
                <w:color w:val="000000"/>
                <w:sz w:val="24"/>
                <w:vertAlign w:val="superscript"/>
              </w:rPr>
              <w:t>3</w:t>
            </w:r>
            <w:r>
              <w:rPr>
                <w:color w:val="000000"/>
                <w:sz w:val="24"/>
              </w:rPr>
              <w:t>/h</w:t>
            </w:r>
            <w:r>
              <w:rPr>
                <w:rFonts w:hint="eastAsia"/>
                <w:color w:val="000000"/>
                <w:sz w:val="24"/>
              </w:rPr>
              <w:t>，</w:t>
            </w:r>
            <w:r>
              <w:rPr>
                <w:color w:val="000000"/>
                <w:sz w:val="24"/>
              </w:rPr>
              <w:t>非甲烷总烃的产生浓度为</w:t>
            </w:r>
            <w:r>
              <w:rPr>
                <w:rFonts w:hint="eastAsia"/>
                <w:color w:val="000000"/>
                <w:sz w:val="24"/>
                <w:lang w:val="en-US" w:eastAsia="zh-CN"/>
              </w:rPr>
              <w:t>0.48</w:t>
            </w:r>
            <w:r>
              <w:rPr>
                <w:color w:val="000000"/>
                <w:sz w:val="24"/>
              </w:rPr>
              <w:t>mg/m</w:t>
            </w:r>
            <w:r>
              <w:rPr>
                <w:color w:val="000000"/>
                <w:sz w:val="24"/>
                <w:vertAlign w:val="superscript"/>
              </w:rPr>
              <w:t>3</w:t>
            </w:r>
            <w:r>
              <w:rPr>
                <w:color w:val="000000"/>
                <w:sz w:val="24"/>
              </w:rPr>
              <w:t>，产生速率为0.</w:t>
            </w:r>
            <w:r>
              <w:rPr>
                <w:rFonts w:hint="eastAsia"/>
                <w:color w:val="000000"/>
                <w:sz w:val="24"/>
              </w:rPr>
              <w:t>0</w:t>
            </w:r>
            <w:r>
              <w:rPr>
                <w:rFonts w:hint="eastAsia"/>
                <w:color w:val="000000"/>
                <w:sz w:val="24"/>
                <w:lang w:val="en-US" w:eastAsia="zh-CN"/>
              </w:rPr>
              <w:t>072</w:t>
            </w:r>
            <w:r>
              <w:rPr>
                <w:color w:val="000000"/>
                <w:sz w:val="24"/>
              </w:rPr>
              <w:t>kg/h</w:t>
            </w:r>
          </w:p>
          <w:p>
            <w:pPr>
              <w:tabs>
                <w:tab w:val="left" w:pos="0"/>
              </w:tabs>
              <w:spacing w:line="360" w:lineRule="auto"/>
              <w:ind w:firstLine="480" w:firstLineChars="200"/>
              <w:jc w:val="left"/>
              <w:rPr>
                <w:color w:val="000000"/>
                <w:sz w:val="24"/>
              </w:rPr>
            </w:pPr>
            <w:r>
              <w:rPr>
                <w:rFonts w:hint="eastAsia"/>
                <w:color w:val="000000"/>
                <w:sz w:val="24"/>
              </w:rPr>
              <w:t>⑤清除涂覆废气</w:t>
            </w:r>
          </w:p>
          <w:p>
            <w:pPr>
              <w:tabs>
                <w:tab w:val="left" w:pos="0"/>
              </w:tabs>
              <w:spacing w:line="360" w:lineRule="auto"/>
              <w:ind w:firstLine="480" w:firstLineChars="200"/>
              <w:rPr>
                <w:color w:val="000000"/>
                <w:sz w:val="24"/>
              </w:rPr>
            </w:pPr>
            <w:r>
              <w:rPr>
                <w:rFonts w:hint="eastAsia"/>
                <w:color w:val="000000"/>
                <w:sz w:val="24"/>
              </w:rPr>
              <w:t xml:space="preserve"> 三防漆清洗剂年使用量为0.6t/a，</w:t>
            </w:r>
            <w:r>
              <w:rPr>
                <w:rFonts w:hint="eastAsia"/>
                <w:color w:val="000000"/>
                <w:sz w:val="24"/>
                <w:lang w:val="en-US" w:eastAsia="zh-CN"/>
              </w:rPr>
              <w:t>密度为1.2g/cm</w:t>
            </w:r>
            <w:r>
              <w:rPr>
                <w:rFonts w:hint="eastAsia"/>
                <w:color w:val="000000"/>
                <w:sz w:val="24"/>
                <w:vertAlign w:val="superscript"/>
                <w:lang w:val="en-US" w:eastAsia="zh-CN"/>
              </w:rPr>
              <w:t>3</w:t>
            </w:r>
            <w:r>
              <w:rPr>
                <w:rFonts w:hint="eastAsia"/>
                <w:color w:val="000000"/>
                <w:sz w:val="24"/>
                <w:vertAlign w:val="baseline"/>
                <w:lang w:val="en-US" w:eastAsia="zh-CN"/>
              </w:rPr>
              <w:t>，挥发系数为33g/L</w:t>
            </w:r>
            <w:r>
              <w:rPr>
                <w:rFonts w:hint="eastAsia"/>
                <w:color w:val="000000"/>
                <w:sz w:val="24"/>
              </w:rPr>
              <w:t>，清除涂覆废气年产生量为0.</w:t>
            </w:r>
            <w:r>
              <w:rPr>
                <w:rFonts w:hint="eastAsia"/>
                <w:color w:val="000000"/>
                <w:sz w:val="24"/>
                <w:lang w:val="en-US" w:eastAsia="zh-CN"/>
              </w:rPr>
              <w:t>0165</w:t>
            </w:r>
            <w:r>
              <w:rPr>
                <w:rFonts w:hint="eastAsia"/>
                <w:color w:val="000000"/>
                <w:sz w:val="24"/>
              </w:rPr>
              <w:t>t/a，废气收集风量为15000</w:t>
            </w:r>
            <w:r>
              <w:rPr>
                <w:color w:val="000000"/>
                <w:sz w:val="24"/>
              </w:rPr>
              <w:t>m</w:t>
            </w:r>
            <w:r>
              <w:rPr>
                <w:color w:val="000000"/>
                <w:sz w:val="24"/>
                <w:vertAlign w:val="superscript"/>
              </w:rPr>
              <w:t>3</w:t>
            </w:r>
            <w:r>
              <w:rPr>
                <w:color w:val="000000"/>
                <w:sz w:val="24"/>
              </w:rPr>
              <w:t>/h</w:t>
            </w:r>
            <w:r>
              <w:rPr>
                <w:rFonts w:hint="eastAsia"/>
                <w:color w:val="000000"/>
                <w:sz w:val="24"/>
              </w:rPr>
              <w:t>，</w:t>
            </w:r>
            <w:r>
              <w:rPr>
                <w:color w:val="000000"/>
                <w:sz w:val="24"/>
              </w:rPr>
              <w:t>非甲烷总烃的产生浓度为</w:t>
            </w:r>
            <w:r>
              <w:rPr>
                <w:rFonts w:hint="eastAsia"/>
                <w:color w:val="000000"/>
                <w:sz w:val="24"/>
                <w:lang w:val="en-US" w:eastAsia="zh-CN"/>
              </w:rPr>
              <w:t>0.0153</w:t>
            </w:r>
            <w:r>
              <w:rPr>
                <w:color w:val="000000"/>
                <w:sz w:val="24"/>
              </w:rPr>
              <w:t>mg/m</w:t>
            </w:r>
            <w:r>
              <w:rPr>
                <w:color w:val="000000"/>
                <w:sz w:val="24"/>
                <w:vertAlign w:val="superscript"/>
              </w:rPr>
              <w:t>3</w:t>
            </w:r>
            <w:r>
              <w:rPr>
                <w:color w:val="000000"/>
                <w:sz w:val="24"/>
              </w:rPr>
              <w:t>，产生速率为0.</w:t>
            </w:r>
            <w:r>
              <w:rPr>
                <w:rFonts w:hint="eastAsia"/>
                <w:color w:val="000000"/>
                <w:sz w:val="24"/>
              </w:rPr>
              <w:t>0</w:t>
            </w:r>
            <w:r>
              <w:rPr>
                <w:rFonts w:hint="eastAsia"/>
                <w:color w:val="000000"/>
                <w:sz w:val="24"/>
                <w:lang w:val="en-US" w:eastAsia="zh-CN"/>
              </w:rPr>
              <w:t>0229</w:t>
            </w:r>
            <w:r>
              <w:rPr>
                <w:color w:val="000000"/>
                <w:sz w:val="24"/>
              </w:rPr>
              <w:t>kg/h</w:t>
            </w:r>
            <w:r>
              <w:rPr>
                <w:rFonts w:hint="eastAsia"/>
                <w:color w:val="000000"/>
                <w:sz w:val="24"/>
              </w:rPr>
              <w:t>。</w:t>
            </w:r>
          </w:p>
          <w:p>
            <w:pPr>
              <w:tabs>
                <w:tab w:val="left" w:pos="0"/>
              </w:tabs>
              <w:spacing w:line="360" w:lineRule="auto"/>
              <w:ind w:firstLine="480" w:firstLineChars="200"/>
              <w:rPr>
                <w:color w:val="000000"/>
                <w:sz w:val="24"/>
              </w:rPr>
            </w:pPr>
            <w:r>
              <w:rPr>
                <w:rFonts w:hint="eastAsia"/>
                <w:color w:val="000000"/>
                <w:sz w:val="24"/>
              </w:rPr>
              <w:t>⑥点胶废气</w:t>
            </w:r>
          </w:p>
          <w:p>
            <w:pPr>
              <w:tabs>
                <w:tab w:val="left" w:pos="0"/>
              </w:tabs>
              <w:spacing w:line="360" w:lineRule="auto"/>
              <w:ind w:firstLine="480" w:firstLineChars="200"/>
              <w:rPr>
                <w:color w:val="000000"/>
                <w:sz w:val="24"/>
              </w:rPr>
            </w:pPr>
            <w:r>
              <w:rPr>
                <w:rFonts w:hint="eastAsia"/>
                <w:color w:val="000000"/>
                <w:sz w:val="24"/>
              </w:rPr>
              <w:t xml:space="preserve">  固定白胶挥发系数为28g/L，白胶使用量为1.2t/a，根据白胶msds可知，白胶密度为1g/c</w:t>
            </w:r>
            <w:r>
              <w:rPr>
                <w:color w:val="000000"/>
                <w:sz w:val="24"/>
              </w:rPr>
              <w:t>m</w:t>
            </w:r>
            <w:r>
              <w:rPr>
                <w:color w:val="000000"/>
                <w:sz w:val="24"/>
                <w:vertAlign w:val="superscript"/>
              </w:rPr>
              <w:t>3</w:t>
            </w:r>
            <w:r>
              <w:rPr>
                <w:rFonts w:hint="eastAsia"/>
                <w:color w:val="000000"/>
                <w:sz w:val="24"/>
              </w:rPr>
              <w:t>，点胶废气产生量为0.0336t/a，废气收集风量为15000</w:t>
            </w:r>
            <w:r>
              <w:rPr>
                <w:color w:val="000000"/>
                <w:sz w:val="24"/>
              </w:rPr>
              <w:t>m</w:t>
            </w:r>
            <w:r>
              <w:rPr>
                <w:color w:val="000000"/>
                <w:sz w:val="24"/>
                <w:vertAlign w:val="superscript"/>
              </w:rPr>
              <w:t>3</w:t>
            </w:r>
            <w:r>
              <w:rPr>
                <w:color w:val="000000"/>
                <w:sz w:val="24"/>
              </w:rPr>
              <w:t>/h</w:t>
            </w:r>
            <w:r>
              <w:rPr>
                <w:rFonts w:hint="eastAsia"/>
                <w:color w:val="000000"/>
                <w:sz w:val="24"/>
              </w:rPr>
              <w:t>，</w:t>
            </w:r>
            <w:r>
              <w:rPr>
                <w:color w:val="000000"/>
                <w:sz w:val="24"/>
              </w:rPr>
              <w:t>非甲烷总烃的产生浓度为</w:t>
            </w:r>
            <w:r>
              <w:rPr>
                <w:rFonts w:hint="eastAsia"/>
                <w:color w:val="000000"/>
                <w:sz w:val="24"/>
              </w:rPr>
              <w:t>0.31</w:t>
            </w:r>
            <w:r>
              <w:rPr>
                <w:color w:val="000000"/>
                <w:sz w:val="24"/>
              </w:rPr>
              <w:t>mg/m</w:t>
            </w:r>
            <w:r>
              <w:rPr>
                <w:color w:val="000000"/>
                <w:sz w:val="24"/>
                <w:vertAlign w:val="superscript"/>
              </w:rPr>
              <w:t>3</w:t>
            </w:r>
            <w:r>
              <w:rPr>
                <w:color w:val="000000"/>
                <w:sz w:val="24"/>
              </w:rPr>
              <w:t>，产生速率为0.</w:t>
            </w:r>
            <w:r>
              <w:rPr>
                <w:rFonts w:hint="eastAsia"/>
                <w:color w:val="000000"/>
                <w:sz w:val="24"/>
              </w:rPr>
              <w:t>0047</w:t>
            </w:r>
            <w:r>
              <w:rPr>
                <w:color w:val="000000"/>
                <w:sz w:val="24"/>
              </w:rPr>
              <w:t>kg/h</w:t>
            </w:r>
            <w:r>
              <w:rPr>
                <w:rFonts w:hint="eastAsia"/>
                <w:color w:val="000000"/>
                <w:sz w:val="24"/>
              </w:rPr>
              <w:t>。</w:t>
            </w:r>
          </w:p>
          <w:p>
            <w:pPr>
              <w:tabs>
                <w:tab w:val="left" w:pos="0"/>
              </w:tabs>
              <w:spacing w:line="360" w:lineRule="auto"/>
              <w:ind w:firstLine="480" w:firstLineChars="200"/>
              <w:rPr>
                <w:color w:val="000000"/>
                <w:sz w:val="24"/>
              </w:rPr>
            </w:pPr>
            <w:r>
              <w:rPr>
                <w:rFonts w:hint="eastAsia"/>
                <w:color w:val="000000"/>
                <w:sz w:val="24"/>
              </w:rPr>
              <w:t>本项目有组织废气产生及收集情况见下表4-1。</w:t>
            </w:r>
          </w:p>
          <w:p>
            <w:pPr>
              <w:tabs>
                <w:tab w:val="left" w:pos="0"/>
              </w:tabs>
              <w:spacing w:before="60"/>
              <w:jc w:val="center"/>
              <w:rPr>
                <w:b/>
                <w:color w:val="000000"/>
                <w:sz w:val="24"/>
              </w:rPr>
            </w:pPr>
            <w:r>
              <w:rPr>
                <w:rFonts w:hint="eastAsia"/>
                <w:b/>
                <w:color w:val="000000"/>
                <w:sz w:val="24"/>
              </w:rPr>
              <w:t>表4-1 有组织废气产生及收集情况</w:t>
            </w:r>
          </w:p>
          <w:tbl>
            <w:tblPr>
              <w:tblStyle w:val="20"/>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31"/>
              <w:gridCol w:w="835"/>
              <w:gridCol w:w="760"/>
              <w:gridCol w:w="1107"/>
              <w:gridCol w:w="1316"/>
              <w:gridCol w:w="1151"/>
              <w:gridCol w:w="1024"/>
              <w:gridCol w:w="17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Merge w:val="restart"/>
                  <w:vAlign w:val="center"/>
                </w:tcPr>
                <w:p>
                  <w:pPr>
                    <w:widowControl/>
                    <w:jc w:val="center"/>
                    <w:rPr>
                      <w:szCs w:val="21"/>
                    </w:rPr>
                  </w:pPr>
                  <w:r>
                    <w:rPr>
                      <w:szCs w:val="21"/>
                    </w:rPr>
                    <w:t>生产工艺</w:t>
                  </w:r>
                </w:p>
              </w:tc>
              <w:tc>
                <w:tcPr>
                  <w:tcW w:w="460" w:type="pct"/>
                  <w:vMerge w:val="restart"/>
                  <w:vAlign w:val="center"/>
                </w:tcPr>
                <w:p>
                  <w:pPr>
                    <w:widowControl/>
                    <w:jc w:val="center"/>
                    <w:rPr>
                      <w:szCs w:val="21"/>
                    </w:rPr>
                  </w:pPr>
                  <w:r>
                    <w:rPr>
                      <w:szCs w:val="21"/>
                    </w:rPr>
                    <w:t>原辅料</w:t>
                  </w:r>
                </w:p>
              </w:tc>
              <w:tc>
                <w:tcPr>
                  <w:tcW w:w="419" w:type="pct"/>
                  <w:vMerge w:val="restart"/>
                  <w:vAlign w:val="center"/>
                </w:tcPr>
                <w:p>
                  <w:pPr>
                    <w:widowControl/>
                    <w:jc w:val="center"/>
                    <w:rPr>
                      <w:szCs w:val="21"/>
                    </w:rPr>
                  </w:pPr>
                  <w:r>
                    <w:rPr>
                      <w:szCs w:val="21"/>
                    </w:rPr>
                    <w:t>用量</w:t>
                  </w:r>
                  <w:r>
                    <w:rPr>
                      <w:rFonts w:hint="eastAsia"/>
                      <w:szCs w:val="21"/>
                    </w:rPr>
                    <w:t>（t/a）</w:t>
                  </w:r>
                </w:p>
              </w:tc>
              <w:tc>
                <w:tcPr>
                  <w:tcW w:w="610" w:type="pct"/>
                  <w:vMerge w:val="restart"/>
                  <w:vAlign w:val="center"/>
                </w:tcPr>
                <w:p>
                  <w:pPr>
                    <w:widowControl/>
                    <w:jc w:val="center"/>
                    <w:rPr>
                      <w:szCs w:val="21"/>
                    </w:rPr>
                  </w:pPr>
                  <w:r>
                    <w:rPr>
                      <w:szCs w:val="21"/>
                    </w:rPr>
                    <w:t>产污系数</w:t>
                  </w:r>
                </w:p>
              </w:tc>
              <w:tc>
                <w:tcPr>
                  <w:tcW w:w="1359" w:type="pct"/>
                  <w:gridSpan w:val="2"/>
                  <w:vAlign w:val="center"/>
                </w:tcPr>
                <w:p>
                  <w:pPr>
                    <w:widowControl/>
                    <w:jc w:val="center"/>
                    <w:rPr>
                      <w:szCs w:val="21"/>
                    </w:rPr>
                  </w:pPr>
                  <w:r>
                    <w:rPr>
                      <w:szCs w:val="21"/>
                    </w:rPr>
                    <w:t>污染源强</w:t>
                  </w:r>
                </w:p>
              </w:tc>
              <w:tc>
                <w:tcPr>
                  <w:tcW w:w="564" w:type="pct"/>
                  <w:vMerge w:val="restart"/>
                  <w:vAlign w:val="center"/>
                </w:tcPr>
                <w:p>
                  <w:pPr>
                    <w:widowControl/>
                    <w:jc w:val="center"/>
                    <w:rPr>
                      <w:szCs w:val="21"/>
                    </w:rPr>
                  </w:pPr>
                  <w:r>
                    <w:rPr>
                      <w:rFonts w:hint="eastAsia"/>
                      <w:szCs w:val="21"/>
                    </w:rPr>
                    <w:t>收集方式</w:t>
                  </w:r>
                </w:p>
              </w:tc>
              <w:tc>
                <w:tcPr>
                  <w:tcW w:w="961" w:type="pct"/>
                  <w:vMerge w:val="restart"/>
                  <w:vAlign w:val="center"/>
                </w:tcPr>
                <w:p>
                  <w:pPr>
                    <w:widowControl/>
                    <w:jc w:val="center"/>
                    <w:rPr>
                      <w:szCs w:val="21"/>
                    </w:rPr>
                  </w:pPr>
                  <w:r>
                    <w:rPr>
                      <w:rFonts w:hint="eastAsia"/>
                      <w:szCs w:val="21"/>
                    </w:rPr>
                    <w:t>治理措施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Merge w:val="continue"/>
                  <w:vAlign w:val="center"/>
                </w:tcPr>
                <w:p>
                  <w:pPr>
                    <w:widowControl/>
                    <w:jc w:val="center"/>
                    <w:rPr>
                      <w:szCs w:val="21"/>
                    </w:rPr>
                  </w:pPr>
                </w:p>
              </w:tc>
              <w:tc>
                <w:tcPr>
                  <w:tcW w:w="460" w:type="pct"/>
                  <w:vMerge w:val="continue"/>
                  <w:vAlign w:val="center"/>
                </w:tcPr>
                <w:p>
                  <w:pPr>
                    <w:widowControl/>
                    <w:jc w:val="center"/>
                    <w:rPr>
                      <w:szCs w:val="21"/>
                    </w:rPr>
                  </w:pPr>
                </w:p>
              </w:tc>
              <w:tc>
                <w:tcPr>
                  <w:tcW w:w="419" w:type="pct"/>
                  <w:vMerge w:val="continue"/>
                  <w:vAlign w:val="center"/>
                </w:tcPr>
                <w:p>
                  <w:pPr>
                    <w:widowControl/>
                    <w:jc w:val="center"/>
                    <w:rPr>
                      <w:szCs w:val="21"/>
                    </w:rPr>
                  </w:pPr>
                </w:p>
              </w:tc>
              <w:tc>
                <w:tcPr>
                  <w:tcW w:w="610" w:type="pct"/>
                  <w:vMerge w:val="continue"/>
                  <w:vAlign w:val="center"/>
                </w:tcPr>
                <w:p>
                  <w:pPr>
                    <w:widowControl/>
                    <w:jc w:val="center"/>
                    <w:rPr>
                      <w:szCs w:val="21"/>
                    </w:rPr>
                  </w:pPr>
                </w:p>
              </w:tc>
              <w:tc>
                <w:tcPr>
                  <w:tcW w:w="725" w:type="pct"/>
                  <w:vAlign w:val="center"/>
                </w:tcPr>
                <w:p>
                  <w:pPr>
                    <w:widowControl/>
                    <w:jc w:val="center"/>
                    <w:rPr>
                      <w:szCs w:val="21"/>
                    </w:rPr>
                  </w:pPr>
                  <w:r>
                    <w:rPr>
                      <w:szCs w:val="21"/>
                    </w:rPr>
                    <w:t>污染物</w:t>
                  </w:r>
                </w:p>
              </w:tc>
              <w:tc>
                <w:tcPr>
                  <w:tcW w:w="634" w:type="pct"/>
                  <w:vAlign w:val="center"/>
                </w:tcPr>
                <w:p>
                  <w:pPr>
                    <w:widowControl/>
                    <w:jc w:val="center"/>
                    <w:rPr>
                      <w:szCs w:val="21"/>
                    </w:rPr>
                  </w:pPr>
                  <w:r>
                    <w:rPr>
                      <w:szCs w:val="21"/>
                    </w:rPr>
                    <w:t>产生量（t/a）</w:t>
                  </w:r>
                </w:p>
              </w:tc>
              <w:tc>
                <w:tcPr>
                  <w:tcW w:w="564" w:type="pct"/>
                  <w:vMerge w:val="continue"/>
                  <w:vAlign w:val="center"/>
                </w:tcPr>
                <w:p>
                  <w:pPr>
                    <w:widowControl/>
                    <w:jc w:val="center"/>
                    <w:rPr>
                      <w:szCs w:val="21"/>
                    </w:rPr>
                  </w:pPr>
                </w:p>
              </w:tc>
              <w:tc>
                <w:tcPr>
                  <w:tcW w:w="961" w:type="pct"/>
                  <w:vMerge w:val="continue"/>
                  <w:vAlign w:val="center"/>
                </w:tcPr>
                <w:p>
                  <w:pPr>
                    <w:widowControl/>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Align w:val="center"/>
                </w:tcPr>
                <w:p>
                  <w:pPr>
                    <w:widowControl/>
                    <w:jc w:val="center"/>
                    <w:rPr>
                      <w:szCs w:val="21"/>
                    </w:rPr>
                  </w:pPr>
                  <w:r>
                    <w:rPr>
                      <w:rFonts w:hint="eastAsia"/>
                      <w:szCs w:val="21"/>
                      <w:lang w:eastAsia="zh-CN"/>
                    </w:rPr>
                    <w:t>网版</w:t>
                  </w:r>
                  <w:r>
                    <w:rPr>
                      <w:rFonts w:hint="eastAsia"/>
                      <w:szCs w:val="21"/>
                    </w:rPr>
                    <w:t>清洗</w:t>
                  </w:r>
                </w:p>
              </w:tc>
              <w:tc>
                <w:tcPr>
                  <w:tcW w:w="460" w:type="pct"/>
                  <w:vAlign w:val="center"/>
                </w:tcPr>
                <w:p>
                  <w:pPr>
                    <w:widowControl/>
                    <w:jc w:val="center"/>
                    <w:rPr>
                      <w:szCs w:val="21"/>
                    </w:rPr>
                  </w:pPr>
                  <w:r>
                    <w:rPr>
                      <w:rFonts w:hint="eastAsia"/>
                      <w:szCs w:val="21"/>
                    </w:rPr>
                    <w:t>清洗剂</w:t>
                  </w:r>
                </w:p>
              </w:tc>
              <w:tc>
                <w:tcPr>
                  <w:tcW w:w="419" w:type="pct"/>
                  <w:vAlign w:val="center"/>
                </w:tcPr>
                <w:p>
                  <w:pPr>
                    <w:widowControl/>
                    <w:jc w:val="center"/>
                    <w:rPr>
                      <w:rFonts w:hint="eastAsia" w:eastAsia="宋体"/>
                      <w:szCs w:val="21"/>
                      <w:lang w:eastAsia="zh-CN"/>
                    </w:rPr>
                  </w:pPr>
                  <w:r>
                    <w:rPr>
                      <w:rFonts w:hint="eastAsia"/>
                      <w:szCs w:val="21"/>
                      <w:lang w:val="en-US" w:eastAsia="zh-CN"/>
                    </w:rPr>
                    <w:t>1</w:t>
                  </w:r>
                </w:p>
              </w:tc>
              <w:tc>
                <w:tcPr>
                  <w:tcW w:w="610" w:type="pct"/>
                  <w:vAlign w:val="center"/>
                </w:tcPr>
                <w:p>
                  <w:pPr>
                    <w:widowControl/>
                    <w:jc w:val="center"/>
                    <w:rPr>
                      <w:rFonts w:hint="default" w:eastAsia="宋体"/>
                      <w:szCs w:val="21"/>
                      <w:lang w:val="en-US" w:eastAsia="zh-CN"/>
                    </w:rPr>
                  </w:pPr>
                  <w:r>
                    <w:rPr>
                      <w:rFonts w:hint="eastAsia"/>
                      <w:szCs w:val="21"/>
                      <w:lang w:val="en-US" w:eastAsia="zh-CN"/>
                    </w:rPr>
                    <w:t>260g/L</w:t>
                  </w:r>
                </w:p>
              </w:tc>
              <w:tc>
                <w:tcPr>
                  <w:tcW w:w="725" w:type="pct"/>
                  <w:vAlign w:val="center"/>
                </w:tcPr>
                <w:p>
                  <w:pPr>
                    <w:widowControl/>
                    <w:jc w:val="center"/>
                    <w:rPr>
                      <w:szCs w:val="21"/>
                    </w:rPr>
                  </w:pPr>
                  <w:r>
                    <w:rPr>
                      <w:rFonts w:hint="eastAsia"/>
                      <w:szCs w:val="21"/>
                    </w:rPr>
                    <w:t>非甲烷总烃</w:t>
                  </w:r>
                </w:p>
              </w:tc>
              <w:tc>
                <w:tcPr>
                  <w:tcW w:w="634" w:type="pct"/>
                  <w:vAlign w:val="center"/>
                </w:tcPr>
                <w:p>
                  <w:pPr>
                    <w:jc w:val="center"/>
                    <w:rPr>
                      <w:rFonts w:hint="default" w:eastAsia="宋体"/>
                      <w:szCs w:val="21"/>
                      <w:lang w:val="en-US" w:eastAsia="zh-CN"/>
                    </w:rPr>
                  </w:pPr>
                  <w:r>
                    <w:rPr>
                      <w:rFonts w:hint="eastAsia"/>
                      <w:szCs w:val="21"/>
                    </w:rPr>
                    <w:t>0.</w:t>
                  </w:r>
                  <w:r>
                    <w:rPr>
                      <w:rFonts w:hint="eastAsia"/>
                      <w:szCs w:val="21"/>
                      <w:lang w:val="en-US" w:eastAsia="zh-CN"/>
                    </w:rPr>
                    <w:t>34</w:t>
                  </w:r>
                </w:p>
              </w:tc>
              <w:tc>
                <w:tcPr>
                  <w:tcW w:w="564" w:type="pct"/>
                  <w:vMerge w:val="restart"/>
                  <w:vAlign w:val="center"/>
                </w:tcPr>
                <w:p>
                  <w:pPr>
                    <w:jc w:val="center"/>
                    <w:rPr>
                      <w:szCs w:val="21"/>
                    </w:rPr>
                  </w:pPr>
                  <w:r>
                    <w:rPr>
                      <w:rFonts w:hint="eastAsia"/>
                      <w:szCs w:val="21"/>
                    </w:rPr>
                    <w:t>集气罩收集，收集效率为90%</w:t>
                  </w:r>
                </w:p>
              </w:tc>
              <w:tc>
                <w:tcPr>
                  <w:tcW w:w="961" w:type="pct"/>
                  <w:vMerge w:val="restart"/>
                  <w:vAlign w:val="center"/>
                </w:tcPr>
                <w:p>
                  <w:pPr>
                    <w:jc w:val="center"/>
                    <w:rPr>
                      <w:szCs w:val="21"/>
                    </w:rPr>
                  </w:pPr>
                  <w:r>
                    <w:rPr>
                      <w:rFonts w:hint="eastAsia"/>
                      <w:szCs w:val="21"/>
                    </w:rPr>
                    <w:t>二级活性炭，尾气通过15m高排气筒排放，风量为10000</w:t>
                  </w:r>
                  <w:r>
                    <w:rPr>
                      <w:color w:val="000000"/>
                      <w:szCs w:val="21"/>
                    </w:rPr>
                    <w:t>m</w:t>
                  </w:r>
                  <w:r>
                    <w:rPr>
                      <w:color w:val="000000"/>
                      <w:szCs w:val="21"/>
                      <w:vertAlign w:val="superscript"/>
                    </w:rPr>
                    <w:t>3</w:t>
                  </w:r>
                  <w:r>
                    <w:rPr>
                      <w:color w:val="000000"/>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Align w:val="center"/>
                </w:tcPr>
                <w:p>
                  <w:pPr>
                    <w:widowControl/>
                    <w:jc w:val="center"/>
                    <w:rPr>
                      <w:szCs w:val="21"/>
                    </w:rPr>
                  </w:pPr>
                  <w:r>
                    <w:rPr>
                      <w:szCs w:val="21"/>
                    </w:rPr>
                    <w:t>回流焊废气</w:t>
                  </w:r>
                </w:p>
              </w:tc>
              <w:tc>
                <w:tcPr>
                  <w:tcW w:w="460" w:type="pct"/>
                  <w:vAlign w:val="center"/>
                </w:tcPr>
                <w:p>
                  <w:pPr>
                    <w:widowControl/>
                    <w:jc w:val="center"/>
                    <w:rPr>
                      <w:szCs w:val="21"/>
                    </w:rPr>
                  </w:pPr>
                  <w:r>
                    <w:rPr>
                      <w:rFonts w:hint="eastAsia"/>
                      <w:szCs w:val="21"/>
                    </w:rPr>
                    <w:t>锡膏</w:t>
                  </w:r>
                </w:p>
              </w:tc>
              <w:tc>
                <w:tcPr>
                  <w:tcW w:w="419" w:type="pct"/>
                  <w:vAlign w:val="center"/>
                </w:tcPr>
                <w:p>
                  <w:pPr>
                    <w:widowControl/>
                    <w:jc w:val="center"/>
                    <w:rPr>
                      <w:szCs w:val="21"/>
                    </w:rPr>
                  </w:pPr>
                  <w:r>
                    <w:rPr>
                      <w:rFonts w:hint="eastAsia"/>
                      <w:szCs w:val="21"/>
                    </w:rPr>
                    <w:t>0.8</w:t>
                  </w:r>
                </w:p>
              </w:tc>
              <w:tc>
                <w:tcPr>
                  <w:tcW w:w="610" w:type="pct"/>
                  <w:vAlign w:val="center"/>
                </w:tcPr>
                <w:p>
                  <w:pPr>
                    <w:widowControl/>
                    <w:jc w:val="center"/>
                    <w:rPr>
                      <w:szCs w:val="21"/>
                    </w:rPr>
                  </w:pPr>
                  <w:r>
                    <w:rPr>
                      <w:rFonts w:hint="eastAsia"/>
                      <w:szCs w:val="21"/>
                    </w:rPr>
                    <w:t>20%</w:t>
                  </w:r>
                </w:p>
              </w:tc>
              <w:tc>
                <w:tcPr>
                  <w:tcW w:w="725" w:type="pct"/>
                  <w:vAlign w:val="center"/>
                </w:tcPr>
                <w:p>
                  <w:pPr>
                    <w:widowControl/>
                    <w:jc w:val="center"/>
                    <w:rPr>
                      <w:szCs w:val="21"/>
                    </w:rPr>
                  </w:pPr>
                  <w:r>
                    <w:rPr>
                      <w:rFonts w:hint="eastAsia"/>
                      <w:szCs w:val="21"/>
                    </w:rPr>
                    <w:t>非甲烷总烃</w:t>
                  </w:r>
                </w:p>
              </w:tc>
              <w:tc>
                <w:tcPr>
                  <w:tcW w:w="634" w:type="pct"/>
                  <w:vAlign w:val="center"/>
                </w:tcPr>
                <w:p>
                  <w:pPr>
                    <w:jc w:val="center"/>
                    <w:rPr>
                      <w:szCs w:val="21"/>
                    </w:rPr>
                  </w:pPr>
                  <w:r>
                    <w:rPr>
                      <w:rFonts w:hint="eastAsia"/>
                      <w:szCs w:val="21"/>
                    </w:rPr>
                    <w:t>0.16</w:t>
                  </w:r>
                </w:p>
              </w:tc>
              <w:tc>
                <w:tcPr>
                  <w:tcW w:w="564" w:type="pct"/>
                  <w:vMerge w:val="continue"/>
                  <w:vAlign w:val="center"/>
                </w:tcPr>
                <w:p>
                  <w:pPr>
                    <w:jc w:val="center"/>
                    <w:rPr>
                      <w:szCs w:val="21"/>
                    </w:rPr>
                  </w:pPr>
                </w:p>
              </w:tc>
              <w:tc>
                <w:tcPr>
                  <w:tcW w:w="961" w:type="pct"/>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Align w:val="center"/>
                </w:tcPr>
                <w:p>
                  <w:pPr>
                    <w:widowControl/>
                    <w:jc w:val="center"/>
                    <w:rPr>
                      <w:szCs w:val="21"/>
                    </w:rPr>
                  </w:pPr>
                  <w:r>
                    <w:rPr>
                      <w:rFonts w:hint="eastAsia"/>
                      <w:szCs w:val="21"/>
                    </w:rPr>
                    <w:t>波峰焊废气</w:t>
                  </w:r>
                </w:p>
              </w:tc>
              <w:tc>
                <w:tcPr>
                  <w:tcW w:w="460" w:type="pct"/>
                  <w:vAlign w:val="center"/>
                </w:tcPr>
                <w:p>
                  <w:pPr>
                    <w:widowControl/>
                    <w:jc w:val="center"/>
                    <w:rPr>
                      <w:szCs w:val="21"/>
                    </w:rPr>
                  </w:pPr>
                  <w:r>
                    <w:rPr>
                      <w:rFonts w:hint="eastAsia"/>
                      <w:szCs w:val="21"/>
                    </w:rPr>
                    <w:t>无铅锡丝</w:t>
                  </w:r>
                </w:p>
              </w:tc>
              <w:tc>
                <w:tcPr>
                  <w:tcW w:w="419" w:type="pct"/>
                  <w:vAlign w:val="center"/>
                </w:tcPr>
                <w:p>
                  <w:pPr>
                    <w:widowControl/>
                    <w:jc w:val="center"/>
                    <w:rPr>
                      <w:szCs w:val="21"/>
                    </w:rPr>
                  </w:pPr>
                  <w:r>
                    <w:rPr>
                      <w:rFonts w:hint="eastAsia"/>
                      <w:szCs w:val="21"/>
                    </w:rPr>
                    <w:t>0.6</w:t>
                  </w:r>
                </w:p>
              </w:tc>
              <w:tc>
                <w:tcPr>
                  <w:tcW w:w="610" w:type="pct"/>
                  <w:vAlign w:val="center"/>
                </w:tcPr>
                <w:p>
                  <w:pPr>
                    <w:widowControl/>
                    <w:jc w:val="center"/>
                    <w:rPr>
                      <w:szCs w:val="21"/>
                    </w:rPr>
                  </w:pPr>
                  <w:r>
                    <w:rPr>
                      <w:rFonts w:hint="eastAsia"/>
                      <w:szCs w:val="21"/>
                    </w:rPr>
                    <w:t>2%</w:t>
                  </w:r>
                </w:p>
              </w:tc>
              <w:tc>
                <w:tcPr>
                  <w:tcW w:w="725" w:type="pct"/>
                  <w:vAlign w:val="center"/>
                </w:tcPr>
                <w:p>
                  <w:pPr>
                    <w:jc w:val="center"/>
                    <w:rPr>
                      <w:szCs w:val="21"/>
                    </w:rPr>
                  </w:pPr>
                  <w:r>
                    <w:rPr>
                      <w:rFonts w:hint="eastAsia"/>
                      <w:szCs w:val="21"/>
                    </w:rPr>
                    <w:t>非甲烷总烃</w:t>
                  </w:r>
                </w:p>
              </w:tc>
              <w:tc>
                <w:tcPr>
                  <w:tcW w:w="634" w:type="pct"/>
                  <w:vAlign w:val="center"/>
                </w:tcPr>
                <w:p>
                  <w:pPr>
                    <w:jc w:val="center"/>
                    <w:rPr>
                      <w:szCs w:val="21"/>
                    </w:rPr>
                  </w:pPr>
                  <w:r>
                    <w:rPr>
                      <w:rFonts w:hint="eastAsia"/>
                      <w:szCs w:val="21"/>
                    </w:rPr>
                    <w:t>0.012</w:t>
                  </w:r>
                </w:p>
              </w:tc>
              <w:tc>
                <w:tcPr>
                  <w:tcW w:w="564" w:type="pct"/>
                  <w:vMerge w:val="continue"/>
                  <w:vAlign w:val="center"/>
                </w:tcPr>
                <w:p>
                  <w:pPr>
                    <w:jc w:val="center"/>
                    <w:rPr>
                      <w:szCs w:val="21"/>
                    </w:rPr>
                  </w:pPr>
                </w:p>
              </w:tc>
              <w:tc>
                <w:tcPr>
                  <w:tcW w:w="961" w:type="pct"/>
                  <w:vMerge w:val="restart"/>
                  <w:vAlign w:val="center"/>
                </w:tcPr>
                <w:p>
                  <w:pPr>
                    <w:jc w:val="center"/>
                    <w:rPr>
                      <w:szCs w:val="21"/>
                    </w:rPr>
                  </w:pPr>
                  <w:r>
                    <w:rPr>
                      <w:rFonts w:hint="eastAsia"/>
                      <w:szCs w:val="21"/>
                    </w:rPr>
                    <w:t>二级活性炭，尾气通过15m高排气筒排放，风量为15000</w:t>
                  </w:r>
                  <w:r>
                    <w:rPr>
                      <w:color w:val="000000"/>
                      <w:szCs w:val="21"/>
                    </w:rPr>
                    <w:t>m</w:t>
                  </w:r>
                  <w:r>
                    <w:rPr>
                      <w:color w:val="000000"/>
                      <w:szCs w:val="21"/>
                      <w:vertAlign w:val="superscript"/>
                    </w:rPr>
                    <w:t>3</w:t>
                  </w:r>
                  <w:r>
                    <w:rPr>
                      <w:color w:val="000000"/>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8" w:hRule="atLeast"/>
                <w:jc w:val="center"/>
              </w:trPr>
              <w:tc>
                <w:tcPr>
                  <w:tcW w:w="623" w:type="pct"/>
                  <w:vAlign w:val="center"/>
                </w:tcPr>
                <w:p>
                  <w:pPr>
                    <w:widowControl/>
                    <w:jc w:val="center"/>
                    <w:rPr>
                      <w:szCs w:val="21"/>
                    </w:rPr>
                  </w:pPr>
                  <w:r>
                    <w:rPr>
                      <w:rFonts w:hint="eastAsia"/>
                      <w:szCs w:val="21"/>
                    </w:rPr>
                    <w:t>补焊废气</w:t>
                  </w:r>
                </w:p>
              </w:tc>
              <w:tc>
                <w:tcPr>
                  <w:tcW w:w="460" w:type="pct"/>
                  <w:vAlign w:val="center"/>
                </w:tcPr>
                <w:p>
                  <w:pPr>
                    <w:widowControl/>
                    <w:jc w:val="center"/>
                    <w:rPr>
                      <w:szCs w:val="21"/>
                    </w:rPr>
                  </w:pPr>
                  <w:r>
                    <w:rPr>
                      <w:rFonts w:hint="eastAsia"/>
                      <w:szCs w:val="21"/>
                    </w:rPr>
                    <w:t>助焊剂</w:t>
                  </w:r>
                </w:p>
              </w:tc>
              <w:tc>
                <w:tcPr>
                  <w:tcW w:w="419" w:type="pct"/>
                  <w:vAlign w:val="center"/>
                </w:tcPr>
                <w:p>
                  <w:pPr>
                    <w:jc w:val="center"/>
                    <w:rPr>
                      <w:szCs w:val="21"/>
                    </w:rPr>
                  </w:pPr>
                  <w:r>
                    <w:rPr>
                      <w:rFonts w:hint="eastAsia"/>
                      <w:szCs w:val="21"/>
                    </w:rPr>
                    <w:t>0.8</w:t>
                  </w:r>
                </w:p>
              </w:tc>
              <w:tc>
                <w:tcPr>
                  <w:tcW w:w="610" w:type="pct"/>
                  <w:vAlign w:val="center"/>
                </w:tcPr>
                <w:p>
                  <w:pPr>
                    <w:widowControl/>
                    <w:jc w:val="center"/>
                    <w:rPr>
                      <w:szCs w:val="21"/>
                    </w:rPr>
                  </w:pPr>
                  <w:r>
                    <w:rPr>
                      <w:rFonts w:hint="eastAsia"/>
                      <w:szCs w:val="21"/>
                    </w:rPr>
                    <w:t>100%</w:t>
                  </w:r>
                </w:p>
              </w:tc>
              <w:tc>
                <w:tcPr>
                  <w:tcW w:w="725" w:type="pct"/>
                  <w:vAlign w:val="center"/>
                </w:tcPr>
                <w:p>
                  <w:pPr>
                    <w:jc w:val="center"/>
                    <w:rPr>
                      <w:szCs w:val="21"/>
                    </w:rPr>
                  </w:pPr>
                  <w:r>
                    <w:rPr>
                      <w:rFonts w:hint="eastAsia"/>
                      <w:szCs w:val="21"/>
                    </w:rPr>
                    <w:t>非甲烷总烃</w:t>
                  </w:r>
                </w:p>
              </w:tc>
              <w:tc>
                <w:tcPr>
                  <w:tcW w:w="634" w:type="pct"/>
                  <w:vAlign w:val="center"/>
                </w:tcPr>
                <w:p>
                  <w:pPr>
                    <w:jc w:val="center"/>
                    <w:rPr>
                      <w:szCs w:val="21"/>
                    </w:rPr>
                  </w:pPr>
                  <w:r>
                    <w:rPr>
                      <w:rFonts w:hint="eastAsia"/>
                      <w:szCs w:val="21"/>
                    </w:rPr>
                    <w:t>0.8</w:t>
                  </w:r>
                </w:p>
              </w:tc>
              <w:tc>
                <w:tcPr>
                  <w:tcW w:w="564" w:type="pct"/>
                  <w:vMerge w:val="continue"/>
                  <w:vAlign w:val="center"/>
                </w:tcPr>
                <w:p>
                  <w:pPr>
                    <w:jc w:val="center"/>
                    <w:rPr>
                      <w:szCs w:val="21"/>
                    </w:rPr>
                  </w:pPr>
                </w:p>
              </w:tc>
              <w:tc>
                <w:tcPr>
                  <w:tcW w:w="961" w:type="pct"/>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Align w:val="center"/>
                </w:tcPr>
                <w:p>
                  <w:pPr>
                    <w:widowControl/>
                    <w:jc w:val="center"/>
                    <w:rPr>
                      <w:szCs w:val="21"/>
                    </w:rPr>
                  </w:pPr>
                  <w:r>
                    <w:rPr>
                      <w:rFonts w:hint="eastAsia"/>
                      <w:szCs w:val="21"/>
                    </w:rPr>
                    <w:t>涂覆废气</w:t>
                  </w:r>
                </w:p>
              </w:tc>
              <w:tc>
                <w:tcPr>
                  <w:tcW w:w="460" w:type="pct"/>
                  <w:vMerge w:val="restart"/>
                  <w:vAlign w:val="center"/>
                </w:tcPr>
                <w:p>
                  <w:pPr>
                    <w:widowControl/>
                    <w:jc w:val="center"/>
                    <w:rPr>
                      <w:szCs w:val="21"/>
                    </w:rPr>
                  </w:pPr>
                  <w:r>
                    <w:rPr>
                      <w:rFonts w:hint="eastAsia"/>
                      <w:szCs w:val="21"/>
                    </w:rPr>
                    <w:t>三防胶</w:t>
                  </w:r>
                </w:p>
              </w:tc>
              <w:tc>
                <w:tcPr>
                  <w:tcW w:w="419" w:type="pct"/>
                  <w:vMerge w:val="restart"/>
                  <w:vAlign w:val="center"/>
                </w:tcPr>
                <w:p>
                  <w:pPr>
                    <w:widowControl/>
                    <w:jc w:val="center"/>
                    <w:rPr>
                      <w:szCs w:val="21"/>
                    </w:rPr>
                  </w:pPr>
                  <w:r>
                    <w:rPr>
                      <w:rFonts w:hint="eastAsia"/>
                      <w:szCs w:val="21"/>
                    </w:rPr>
                    <w:t>0.4</w:t>
                  </w:r>
                </w:p>
              </w:tc>
              <w:tc>
                <w:tcPr>
                  <w:tcW w:w="610" w:type="pct"/>
                  <w:vMerge w:val="restart"/>
                  <w:vAlign w:val="center"/>
                </w:tcPr>
                <w:p>
                  <w:pPr>
                    <w:widowControl/>
                    <w:jc w:val="center"/>
                    <w:rPr>
                      <w:szCs w:val="21"/>
                    </w:rPr>
                  </w:pPr>
                  <w:r>
                    <w:rPr>
                      <w:rFonts w:hint="eastAsia"/>
                      <w:szCs w:val="21"/>
                      <w:lang w:val="en-US" w:eastAsia="zh-CN"/>
                    </w:rPr>
                    <w:t>109g/L</w:t>
                  </w:r>
                </w:p>
              </w:tc>
              <w:tc>
                <w:tcPr>
                  <w:tcW w:w="725" w:type="pct"/>
                  <w:vMerge w:val="restart"/>
                  <w:vAlign w:val="center"/>
                </w:tcPr>
                <w:p>
                  <w:pPr>
                    <w:widowControl/>
                    <w:jc w:val="center"/>
                    <w:rPr>
                      <w:szCs w:val="21"/>
                    </w:rPr>
                  </w:pPr>
                  <w:r>
                    <w:rPr>
                      <w:rFonts w:hint="eastAsia"/>
                      <w:szCs w:val="21"/>
                    </w:rPr>
                    <w:t>非甲烷总烃</w:t>
                  </w:r>
                </w:p>
              </w:tc>
              <w:tc>
                <w:tcPr>
                  <w:tcW w:w="634" w:type="pct"/>
                  <w:vMerge w:val="restart"/>
                  <w:vAlign w:val="center"/>
                </w:tcPr>
                <w:p>
                  <w:pPr>
                    <w:widowControl/>
                    <w:jc w:val="center"/>
                    <w:rPr>
                      <w:rFonts w:hint="default" w:eastAsia="宋体"/>
                      <w:szCs w:val="21"/>
                      <w:lang w:val="en-US" w:eastAsia="zh-CN"/>
                    </w:rPr>
                  </w:pPr>
                  <w:r>
                    <w:rPr>
                      <w:rFonts w:hint="eastAsia"/>
                      <w:szCs w:val="21"/>
                      <w:lang w:val="en-US" w:eastAsia="zh-CN"/>
                    </w:rPr>
                    <w:t>0.052</w:t>
                  </w:r>
                </w:p>
              </w:tc>
              <w:tc>
                <w:tcPr>
                  <w:tcW w:w="564" w:type="pct"/>
                  <w:vMerge w:val="continue"/>
                  <w:vAlign w:val="center"/>
                </w:tcPr>
                <w:p>
                  <w:pPr>
                    <w:widowControl/>
                    <w:jc w:val="center"/>
                    <w:rPr>
                      <w:szCs w:val="21"/>
                    </w:rPr>
                  </w:pPr>
                </w:p>
              </w:tc>
              <w:tc>
                <w:tcPr>
                  <w:tcW w:w="961" w:type="pct"/>
                  <w:vMerge w:val="continue"/>
                  <w:vAlign w:val="center"/>
                </w:tcPr>
                <w:p>
                  <w:pPr>
                    <w:widowControl/>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Align w:val="center"/>
                </w:tcPr>
                <w:p>
                  <w:pPr>
                    <w:widowControl/>
                    <w:jc w:val="center"/>
                    <w:rPr>
                      <w:szCs w:val="21"/>
                    </w:rPr>
                  </w:pPr>
                  <w:r>
                    <w:rPr>
                      <w:rFonts w:hint="eastAsia"/>
                      <w:szCs w:val="21"/>
                    </w:rPr>
                    <w:t>固化废气</w:t>
                  </w:r>
                </w:p>
              </w:tc>
              <w:tc>
                <w:tcPr>
                  <w:tcW w:w="460" w:type="pct"/>
                  <w:vMerge w:val="continue"/>
                  <w:vAlign w:val="center"/>
                </w:tcPr>
                <w:p>
                  <w:pPr>
                    <w:widowControl/>
                    <w:jc w:val="center"/>
                    <w:rPr>
                      <w:szCs w:val="21"/>
                    </w:rPr>
                  </w:pPr>
                </w:p>
              </w:tc>
              <w:tc>
                <w:tcPr>
                  <w:tcW w:w="419" w:type="pct"/>
                  <w:vMerge w:val="continue"/>
                  <w:vAlign w:val="center"/>
                </w:tcPr>
                <w:p>
                  <w:pPr>
                    <w:widowControl/>
                    <w:jc w:val="center"/>
                    <w:rPr>
                      <w:szCs w:val="21"/>
                    </w:rPr>
                  </w:pPr>
                </w:p>
              </w:tc>
              <w:tc>
                <w:tcPr>
                  <w:tcW w:w="610" w:type="pct"/>
                  <w:vMerge w:val="continue"/>
                  <w:vAlign w:val="center"/>
                </w:tcPr>
                <w:p>
                  <w:pPr>
                    <w:widowControl/>
                    <w:jc w:val="center"/>
                    <w:rPr>
                      <w:szCs w:val="21"/>
                    </w:rPr>
                  </w:pPr>
                </w:p>
              </w:tc>
              <w:tc>
                <w:tcPr>
                  <w:tcW w:w="725" w:type="pct"/>
                  <w:vMerge w:val="continue"/>
                  <w:vAlign w:val="center"/>
                </w:tcPr>
                <w:p>
                  <w:pPr>
                    <w:widowControl/>
                    <w:jc w:val="center"/>
                    <w:rPr>
                      <w:szCs w:val="21"/>
                    </w:rPr>
                  </w:pPr>
                </w:p>
              </w:tc>
              <w:tc>
                <w:tcPr>
                  <w:tcW w:w="634" w:type="pct"/>
                  <w:vMerge w:val="continue"/>
                  <w:vAlign w:val="center"/>
                </w:tcPr>
                <w:p>
                  <w:pPr>
                    <w:widowControl/>
                    <w:jc w:val="center"/>
                    <w:rPr>
                      <w:szCs w:val="21"/>
                    </w:rPr>
                  </w:pPr>
                </w:p>
              </w:tc>
              <w:tc>
                <w:tcPr>
                  <w:tcW w:w="564" w:type="pct"/>
                  <w:vMerge w:val="continue"/>
                  <w:vAlign w:val="center"/>
                </w:tcPr>
                <w:p>
                  <w:pPr>
                    <w:widowControl/>
                    <w:jc w:val="center"/>
                    <w:rPr>
                      <w:szCs w:val="21"/>
                    </w:rPr>
                  </w:pPr>
                </w:p>
              </w:tc>
              <w:tc>
                <w:tcPr>
                  <w:tcW w:w="961" w:type="pct"/>
                  <w:vMerge w:val="continue"/>
                  <w:vAlign w:val="center"/>
                </w:tcPr>
                <w:p>
                  <w:pPr>
                    <w:widowControl/>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Align w:val="center"/>
                </w:tcPr>
                <w:p>
                  <w:pPr>
                    <w:widowControl/>
                    <w:jc w:val="center"/>
                    <w:rPr>
                      <w:szCs w:val="21"/>
                    </w:rPr>
                  </w:pPr>
                  <w:r>
                    <w:rPr>
                      <w:rFonts w:hint="eastAsia"/>
                      <w:szCs w:val="21"/>
                    </w:rPr>
                    <w:t>清除涂覆废气</w:t>
                  </w:r>
                </w:p>
              </w:tc>
              <w:tc>
                <w:tcPr>
                  <w:tcW w:w="460" w:type="pct"/>
                  <w:vAlign w:val="center"/>
                </w:tcPr>
                <w:p>
                  <w:pPr>
                    <w:widowControl/>
                    <w:jc w:val="center"/>
                    <w:rPr>
                      <w:szCs w:val="21"/>
                    </w:rPr>
                  </w:pPr>
                  <w:r>
                    <w:rPr>
                      <w:rFonts w:hint="eastAsia"/>
                      <w:szCs w:val="21"/>
                    </w:rPr>
                    <w:t>清洗剂</w:t>
                  </w:r>
                </w:p>
              </w:tc>
              <w:tc>
                <w:tcPr>
                  <w:tcW w:w="419" w:type="pct"/>
                  <w:vAlign w:val="center"/>
                </w:tcPr>
                <w:p>
                  <w:pPr>
                    <w:widowControl/>
                    <w:jc w:val="center"/>
                    <w:rPr>
                      <w:szCs w:val="21"/>
                    </w:rPr>
                  </w:pPr>
                  <w:r>
                    <w:rPr>
                      <w:rFonts w:hint="eastAsia"/>
                      <w:szCs w:val="21"/>
                    </w:rPr>
                    <w:t>0.6</w:t>
                  </w:r>
                </w:p>
              </w:tc>
              <w:tc>
                <w:tcPr>
                  <w:tcW w:w="610" w:type="pct"/>
                  <w:vAlign w:val="center"/>
                </w:tcPr>
                <w:p>
                  <w:pPr>
                    <w:widowControl/>
                    <w:jc w:val="center"/>
                    <w:rPr>
                      <w:rFonts w:hint="default" w:eastAsia="宋体"/>
                      <w:szCs w:val="21"/>
                      <w:lang w:val="en-US" w:eastAsia="zh-CN"/>
                    </w:rPr>
                  </w:pPr>
                  <w:r>
                    <w:rPr>
                      <w:rFonts w:hint="eastAsia"/>
                      <w:szCs w:val="21"/>
                      <w:lang w:val="en-US" w:eastAsia="zh-CN"/>
                    </w:rPr>
                    <w:t>33g/L</w:t>
                  </w:r>
                </w:p>
              </w:tc>
              <w:tc>
                <w:tcPr>
                  <w:tcW w:w="725" w:type="pct"/>
                  <w:vAlign w:val="center"/>
                </w:tcPr>
                <w:p>
                  <w:pPr>
                    <w:widowControl/>
                    <w:jc w:val="center"/>
                    <w:rPr>
                      <w:szCs w:val="21"/>
                    </w:rPr>
                  </w:pPr>
                  <w:r>
                    <w:rPr>
                      <w:rFonts w:hint="eastAsia"/>
                      <w:szCs w:val="21"/>
                    </w:rPr>
                    <w:t>非甲烷总烃</w:t>
                  </w:r>
                </w:p>
              </w:tc>
              <w:tc>
                <w:tcPr>
                  <w:tcW w:w="634" w:type="pct"/>
                  <w:vAlign w:val="center"/>
                </w:tcPr>
                <w:p>
                  <w:pPr>
                    <w:jc w:val="center"/>
                    <w:rPr>
                      <w:szCs w:val="21"/>
                    </w:rPr>
                  </w:pPr>
                  <w:r>
                    <w:rPr>
                      <w:rFonts w:hint="eastAsia"/>
                      <w:szCs w:val="21"/>
                    </w:rPr>
                    <w:t>0.</w:t>
                  </w:r>
                  <w:r>
                    <w:rPr>
                      <w:rFonts w:hint="eastAsia"/>
                      <w:szCs w:val="21"/>
                      <w:lang w:val="en-US" w:eastAsia="zh-CN"/>
                    </w:rPr>
                    <w:t>0165</w:t>
                  </w:r>
                </w:p>
              </w:tc>
              <w:tc>
                <w:tcPr>
                  <w:tcW w:w="564" w:type="pct"/>
                  <w:vMerge w:val="continue"/>
                  <w:vAlign w:val="center"/>
                </w:tcPr>
                <w:p>
                  <w:pPr>
                    <w:jc w:val="center"/>
                    <w:rPr>
                      <w:szCs w:val="21"/>
                    </w:rPr>
                  </w:pPr>
                </w:p>
              </w:tc>
              <w:tc>
                <w:tcPr>
                  <w:tcW w:w="961" w:type="pct"/>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623" w:type="pct"/>
                  <w:vAlign w:val="center"/>
                </w:tcPr>
                <w:p>
                  <w:pPr>
                    <w:widowControl/>
                    <w:jc w:val="center"/>
                    <w:rPr>
                      <w:szCs w:val="21"/>
                    </w:rPr>
                  </w:pPr>
                  <w:r>
                    <w:rPr>
                      <w:rFonts w:hint="eastAsia"/>
                      <w:szCs w:val="21"/>
                    </w:rPr>
                    <w:t>点胶废气</w:t>
                  </w:r>
                </w:p>
              </w:tc>
              <w:tc>
                <w:tcPr>
                  <w:tcW w:w="460" w:type="pct"/>
                  <w:vAlign w:val="center"/>
                </w:tcPr>
                <w:p>
                  <w:pPr>
                    <w:widowControl/>
                    <w:jc w:val="center"/>
                    <w:rPr>
                      <w:szCs w:val="21"/>
                    </w:rPr>
                  </w:pPr>
                  <w:r>
                    <w:rPr>
                      <w:rFonts w:hint="eastAsia"/>
                      <w:szCs w:val="21"/>
                    </w:rPr>
                    <w:t>白胶</w:t>
                  </w:r>
                </w:p>
              </w:tc>
              <w:tc>
                <w:tcPr>
                  <w:tcW w:w="419" w:type="pct"/>
                  <w:vAlign w:val="center"/>
                </w:tcPr>
                <w:p>
                  <w:pPr>
                    <w:widowControl/>
                    <w:jc w:val="center"/>
                    <w:rPr>
                      <w:szCs w:val="21"/>
                    </w:rPr>
                  </w:pPr>
                  <w:r>
                    <w:rPr>
                      <w:rFonts w:hint="eastAsia"/>
                      <w:szCs w:val="21"/>
                    </w:rPr>
                    <w:t>1.2</w:t>
                  </w:r>
                </w:p>
              </w:tc>
              <w:tc>
                <w:tcPr>
                  <w:tcW w:w="610" w:type="pct"/>
                  <w:vAlign w:val="center"/>
                </w:tcPr>
                <w:p>
                  <w:pPr>
                    <w:widowControl/>
                    <w:jc w:val="center"/>
                    <w:rPr>
                      <w:kern w:val="0"/>
                      <w:szCs w:val="21"/>
                    </w:rPr>
                  </w:pPr>
                  <w:r>
                    <w:rPr>
                      <w:rFonts w:hint="eastAsia"/>
                      <w:kern w:val="0"/>
                      <w:szCs w:val="21"/>
                    </w:rPr>
                    <w:t>28g/L</w:t>
                  </w:r>
                </w:p>
              </w:tc>
              <w:tc>
                <w:tcPr>
                  <w:tcW w:w="725" w:type="pct"/>
                  <w:vAlign w:val="center"/>
                </w:tcPr>
                <w:p>
                  <w:pPr>
                    <w:widowControl/>
                    <w:jc w:val="center"/>
                    <w:rPr>
                      <w:szCs w:val="21"/>
                    </w:rPr>
                  </w:pPr>
                  <w:r>
                    <w:rPr>
                      <w:rFonts w:hint="eastAsia"/>
                      <w:szCs w:val="21"/>
                    </w:rPr>
                    <w:t>非甲烷总烃</w:t>
                  </w:r>
                </w:p>
              </w:tc>
              <w:tc>
                <w:tcPr>
                  <w:tcW w:w="634" w:type="pct"/>
                  <w:vAlign w:val="center"/>
                </w:tcPr>
                <w:p>
                  <w:pPr>
                    <w:jc w:val="center"/>
                    <w:rPr>
                      <w:szCs w:val="21"/>
                    </w:rPr>
                  </w:pPr>
                  <w:r>
                    <w:rPr>
                      <w:rFonts w:hint="eastAsia"/>
                      <w:szCs w:val="21"/>
                    </w:rPr>
                    <w:t>0.0336</w:t>
                  </w:r>
                </w:p>
              </w:tc>
              <w:tc>
                <w:tcPr>
                  <w:tcW w:w="564" w:type="pct"/>
                  <w:vMerge w:val="continue"/>
                  <w:vAlign w:val="center"/>
                </w:tcPr>
                <w:p>
                  <w:pPr>
                    <w:jc w:val="center"/>
                    <w:rPr>
                      <w:szCs w:val="21"/>
                    </w:rPr>
                  </w:pPr>
                </w:p>
              </w:tc>
              <w:tc>
                <w:tcPr>
                  <w:tcW w:w="961" w:type="pct"/>
                  <w:vMerge w:val="continue"/>
                  <w:vAlign w:val="center"/>
                </w:tcPr>
                <w:p>
                  <w:pPr>
                    <w:jc w:val="center"/>
                    <w:rPr>
                      <w:szCs w:val="21"/>
                    </w:rPr>
                  </w:pPr>
                </w:p>
              </w:tc>
            </w:tr>
          </w:tbl>
          <w:p>
            <w:pPr>
              <w:tabs>
                <w:tab w:val="left" w:pos="0"/>
              </w:tabs>
              <w:spacing w:line="360" w:lineRule="auto"/>
              <w:jc w:val="left"/>
              <w:rPr>
                <w:color w:val="000000"/>
                <w:sz w:val="24"/>
              </w:rPr>
            </w:pPr>
          </w:p>
          <w:p>
            <w:pPr>
              <w:tabs>
                <w:tab w:val="left" w:pos="0"/>
              </w:tabs>
              <w:spacing w:line="360" w:lineRule="auto"/>
              <w:jc w:val="left"/>
              <w:rPr>
                <w:color w:val="000000"/>
                <w:sz w:val="24"/>
              </w:rPr>
            </w:pPr>
            <w:r>
              <w:rPr>
                <w:color w:val="000000"/>
                <w:sz w:val="24"/>
              </w:rPr>
              <w:t>本项目有组织废气</w:t>
            </w:r>
            <w:r>
              <w:rPr>
                <w:rFonts w:hint="eastAsia"/>
                <w:color w:val="000000"/>
                <w:sz w:val="24"/>
              </w:rPr>
              <w:t>和无组织</w:t>
            </w:r>
            <w:r>
              <w:rPr>
                <w:color w:val="000000"/>
                <w:sz w:val="24"/>
              </w:rPr>
              <w:t>排放情况见下表。</w:t>
            </w:r>
          </w:p>
          <w:p>
            <w:pPr>
              <w:tabs>
                <w:tab w:val="left" w:pos="0"/>
              </w:tabs>
              <w:spacing w:before="60"/>
              <w:jc w:val="center"/>
              <w:rPr>
                <w:b/>
                <w:color w:val="000000"/>
                <w:sz w:val="24"/>
              </w:rPr>
            </w:pPr>
            <w:r>
              <w:rPr>
                <w:b/>
                <w:color w:val="000000"/>
                <w:sz w:val="24"/>
              </w:rPr>
              <w:t>表4-</w:t>
            </w:r>
            <w:r>
              <w:rPr>
                <w:rFonts w:hint="eastAsia"/>
                <w:b/>
                <w:color w:val="000000"/>
                <w:sz w:val="24"/>
              </w:rPr>
              <w:t>2</w:t>
            </w:r>
            <w:r>
              <w:rPr>
                <w:b/>
                <w:color w:val="000000"/>
                <w:sz w:val="24"/>
              </w:rPr>
              <w:t xml:space="preserve">  本项目有组织废气产生及排放情况</w:t>
            </w:r>
          </w:p>
          <w:tbl>
            <w:tblPr>
              <w:tblStyle w:val="20"/>
              <w:tblW w:w="499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19"/>
              <w:gridCol w:w="633"/>
              <w:gridCol w:w="673"/>
              <w:gridCol w:w="800"/>
              <w:gridCol w:w="624"/>
              <w:gridCol w:w="622"/>
              <w:gridCol w:w="482"/>
              <w:gridCol w:w="433"/>
              <w:gridCol w:w="453"/>
              <w:gridCol w:w="771"/>
              <w:gridCol w:w="664"/>
              <w:gridCol w:w="656"/>
              <w:gridCol w:w="970"/>
              <w:gridCol w:w="5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397" w:type="pct"/>
                  <w:vMerge w:val="restart"/>
                  <w:vAlign w:val="center"/>
                </w:tcPr>
                <w:p>
                  <w:pPr>
                    <w:tabs>
                      <w:tab w:val="left" w:pos="0"/>
                    </w:tabs>
                    <w:adjustRightInd w:val="0"/>
                    <w:snapToGrid w:val="0"/>
                    <w:jc w:val="center"/>
                    <w:textAlignment w:val="baseline"/>
                    <w:rPr>
                      <w:b/>
                      <w:color w:val="000000"/>
                      <w:spacing w:val="4"/>
                      <w:szCs w:val="21"/>
                    </w:rPr>
                  </w:pPr>
                  <w:r>
                    <w:rPr>
                      <w:b/>
                      <w:color w:val="000000"/>
                      <w:spacing w:val="4"/>
                      <w:szCs w:val="21"/>
                    </w:rPr>
                    <w:t>污染源</w:t>
                  </w:r>
                </w:p>
              </w:tc>
              <w:tc>
                <w:tcPr>
                  <w:tcW w:w="349" w:type="pct"/>
                  <w:vMerge w:val="restart"/>
                  <w:vAlign w:val="center"/>
                </w:tcPr>
                <w:p>
                  <w:pPr>
                    <w:tabs>
                      <w:tab w:val="left" w:pos="0"/>
                    </w:tabs>
                    <w:adjustRightInd w:val="0"/>
                    <w:snapToGrid w:val="0"/>
                    <w:jc w:val="center"/>
                    <w:textAlignment w:val="baseline"/>
                    <w:rPr>
                      <w:b/>
                      <w:color w:val="000000"/>
                      <w:spacing w:val="4"/>
                      <w:szCs w:val="21"/>
                    </w:rPr>
                  </w:pPr>
                  <w:r>
                    <w:rPr>
                      <w:b/>
                      <w:color w:val="000000"/>
                      <w:spacing w:val="4"/>
                      <w:szCs w:val="21"/>
                    </w:rPr>
                    <w:t>排气量</w:t>
                  </w:r>
                </w:p>
                <w:p>
                  <w:pPr>
                    <w:tabs>
                      <w:tab w:val="left" w:pos="0"/>
                    </w:tabs>
                    <w:adjustRightInd w:val="0"/>
                    <w:snapToGrid w:val="0"/>
                    <w:jc w:val="center"/>
                    <w:textAlignment w:val="baseline"/>
                    <w:rPr>
                      <w:b/>
                      <w:color w:val="000000"/>
                      <w:spacing w:val="4"/>
                      <w:szCs w:val="21"/>
                    </w:rPr>
                  </w:pPr>
                  <w:r>
                    <w:rPr>
                      <w:b/>
                      <w:color w:val="000000"/>
                      <w:spacing w:val="4"/>
                      <w:szCs w:val="21"/>
                    </w:rPr>
                    <w:t>m</w:t>
                  </w:r>
                  <w:r>
                    <w:rPr>
                      <w:b/>
                      <w:color w:val="000000"/>
                      <w:spacing w:val="4"/>
                      <w:szCs w:val="21"/>
                      <w:vertAlign w:val="superscript"/>
                    </w:rPr>
                    <w:t>3</w:t>
                  </w:r>
                  <w:r>
                    <w:rPr>
                      <w:b/>
                      <w:color w:val="000000"/>
                      <w:spacing w:val="4"/>
                      <w:szCs w:val="21"/>
                    </w:rPr>
                    <w:t>/h</w:t>
                  </w:r>
                </w:p>
              </w:tc>
              <w:tc>
                <w:tcPr>
                  <w:tcW w:w="371" w:type="pct"/>
                  <w:vMerge w:val="restart"/>
                  <w:vAlign w:val="center"/>
                </w:tcPr>
                <w:p>
                  <w:pPr>
                    <w:tabs>
                      <w:tab w:val="left" w:pos="0"/>
                    </w:tabs>
                    <w:adjustRightInd w:val="0"/>
                    <w:snapToGrid w:val="0"/>
                    <w:jc w:val="center"/>
                    <w:textAlignment w:val="baseline"/>
                    <w:rPr>
                      <w:b/>
                      <w:color w:val="000000"/>
                      <w:spacing w:val="4"/>
                      <w:szCs w:val="21"/>
                    </w:rPr>
                  </w:pPr>
                  <w:r>
                    <w:rPr>
                      <w:b/>
                      <w:color w:val="000000"/>
                      <w:spacing w:val="4"/>
                      <w:szCs w:val="21"/>
                    </w:rPr>
                    <w:t>污染</w:t>
                  </w:r>
                </w:p>
                <w:p>
                  <w:pPr>
                    <w:tabs>
                      <w:tab w:val="left" w:pos="0"/>
                    </w:tabs>
                    <w:adjustRightInd w:val="0"/>
                    <w:snapToGrid w:val="0"/>
                    <w:jc w:val="center"/>
                    <w:textAlignment w:val="baseline"/>
                    <w:rPr>
                      <w:b/>
                      <w:color w:val="000000"/>
                      <w:spacing w:val="4"/>
                      <w:szCs w:val="21"/>
                    </w:rPr>
                  </w:pPr>
                  <w:r>
                    <w:rPr>
                      <w:b/>
                      <w:color w:val="000000"/>
                      <w:spacing w:val="4"/>
                      <w:szCs w:val="21"/>
                    </w:rPr>
                    <w:t>因子</w:t>
                  </w:r>
                </w:p>
              </w:tc>
              <w:tc>
                <w:tcPr>
                  <w:tcW w:w="1128" w:type="pct"/>
                  <w:gridSpan w:val="3"/>
                  <w:vAlign w:val="center"/>
                </w:tcPr>
                <w:p>
                  <w:pPr>
                    <w:tabs>
                      <w:tab w:val="left" w:pos="0"/>
                    </w:tabs>
                    <w:adjustRightInd w:val="0"/>
                    <w:snapToGrid w:val="0"/>
                    <w:jc w:val="center"/>
                    <w:textAlignment w:val="baseline"/>
                    <w:rPr>
                      <w:b/>
                      <w:color w:val="000000"/>
                      <w:spacing w:val="4"/>
                      <w:szCs w:val="21"/>
                    </w:rPr>
                  </w:pPr>
                  <w:r>
                    <w:rPr>
                      <w:b/>
                      <w:color w:val="000000"/>
                      <w:spacing w:val="4"/>
                      <w:szCs w:val="21"/>
                    </w:rPr>
                    <w:t>污染物产生量</w:t>
                  </w:r>
                </w:p>
              </w:tc>
              <w:tc>
                <w:tcPr>
                  <w:tcW w:w="266" w:type="pct"/>
                  <w:vMerge w:val="restart"/>
                  <w:vAlign w:val="center"/>
                </w:tcPr>
                <w:p>
                  <w:pPr>
                    <w:tabs>
                      <w:tab w:val="left" w:pos="0"/>
                    </w:tabs>
                    <w:adjustRightInd w:val="0"/>
                    <w:snapToGrid w:val="0"/>
                    <w:jc w:val="center"/>
                    <w:textAlignment w:val="baseline"/>
                    <w:rPr>
                      <w:b/>
                      <w:color w:val="000000"/>
                      <w:spacing w:val="4"/>
                      <w:szCs w:val="21"/>
                    </w:rPr>
                  </w:pPr>
                  <w:r>
                    <w:rPr>
                      <w:b/>
                      <w:color w:val="000000"/>
                      <w:spacing w:val="4"/>
                      <w:szCs w:val="21"/>
                    </w:rPr>
                    <w:t>收集效率</w:t>
                  </w:r>
                  <w:r>
                    <w:rPr>
                      <w:bCs/>
                      <w:color w:val="000000"/>
                      <w:spacing w:val="4"/>
                      <w:szCs w:val="21"/>
                    </w:rPr>
                    <w:t>%</w:t>
                  </w:r>
                </w:p>
              </w:tc>
              <w:tc>
                <w:tcPr>
                  <w:tcW w:w="239" w:type="pct"/>
                  <w:vMerge w:val="restart"/>
                  <w:vAlign w:val="center"/>
                </w:tcPr>
                <w:p>
                  <w:pPr>
                    <w:tabs>
                      <w:tab w:val="left" w:pos="0"/>
                    </w:tabs>
                    <w:adjustRightInd w:val="0"/>
                    <w:snapToGrid w:val="0"/>
                    <w:jc w:val="center"/>
                    <w:textAlignment w:val="baseline"/>
                    <w:rPr>
                      <w:b/>
                      <w:color w:val="000000"/>
                      <w:spacing w:val="4"/>
                      <w:szCs w:val="21"/>
                    </w:rPr>
                  </w:pPr>
                  <w:r>
                    <w:rPr>
                      <w:b/>
                      <w:color w:val="000000"/>
                      <w:spacing w:val="4"/>
                      <w:szCs w:val="21"/>
                    </w:rPr>
                    <w:t>处理</w:t>
                  </w:r>
                </w:p>
                <w:p>
                  <w:pPr>
                    <w:tabs>
                      <w:tab w:val="left" w:pos="0"/>
                    </w:tabs>
                    <w:adjustRightInd w:val="0"/>
                    <w:snapToGrid w:val="0"/>
                    <w:jc w:val="center"/>
                    <w:textAlignment w:val="baseline"/>
                    <w:rPr>
                      <w:b/>
                      <w:color w:val="000000"/>
                      <w:spacing w:val="4"/>
                      <w:szCs w:val="21"/>
                    </w:rPr>
                  </w:pPr>
                  <w:r>
                    <w:rPr>
                      <w:b/>
                      <w:color w:val="000000"/>
                      <w:spacing w:val="4"/>
                      <w:szCs w:val="21"/>
                    </w:rPr>
                    <w:t>措施</w:t>
                  </w:r>
                </w:p>
              </w:tc>
              <w:tc>
                <w:tcPr>
                  <w:tcW w:w="250" w:type="pct"/>
                  <w:vMerge w:val="restart"/>
                  <w:vAlign w:val="center"/>
                </w:tcPr>
                <w:p>
                  <w:pPr>
                    <w:tabs>
                      <w:tab w:val="left" w:pos="0"/>
                    </w:tabs>
                    <w:adjustRightInd w:val="0"/>
                    <w:snapToGrid w:val="0"/>
                    <w:jc w:val="center"/>
                    <w:textAlignment w:val="baseline"/>
                    <w:rPr>
                      <w:b/>
                      <w:color w:val="000000"/>
                      <w:spacing w:val="4"/>
                      <w:szCs w:val="21"/>
                    </w:rPr>
                  </w:pPr>
                  <w:r>
                    <w:rPr>
                      <w:b/>
                      <w:color w:val="000000"/>
                      <w:spacing w:val="4"/>
                      <w:szCs w:val="21"/>
                    </w:rPr>
                    <w:t>去除率</w:t>
                  </w:r>
                  <w:r>
                    <w:rPr>
                      <w:bCs/>
                      <w:color w:val="000000"/>
                      <w:spacing w:val="4"/>
                      <w:szCs w:val="21"/>
                    </w:rPr>
                    <w:t>%</w:t>
                  </w:r>
                </w:p>
              </w:tc>
              <w:tc>
                <w:tcPr>
                  <w:tcW w:w="1153" w:type="pct"/>
                  <w:gridSpan w:val="3"/>
                  <w:vAlign w:val="center"/>
                </w:tcPr>
                <w:p>
                  <w:pPr>
                    <w:tabs>
                      <w:tab w:val="left" w:pos="0"/>
                    </w:tabs>
                    <w:adjustRightInd w:val="0"/>
                    <w:snapToGrid w:val="0"/>
                    <w:jc w:val="center"/>
                    <w:textAlignment w:val="baseline"/>
                    <w:rPr>
                      <w:b/>
                      <w:color w:val="000000"/>
                      <w:spacing w:val="4"/>
                      <w:szCs w:val="21"/>
                    </w:rPr>
                  </w:pPr>
                  <w:r>
                    <w:rPr>
                      <w:b/>
                      <w:color w:val="000000"/>
                      <w:spacing w:val="4"/>
                      <w:szCs w:val="21"/>
                    </w:rPr>
                    <w:t>污染物排放量</w:t>
                  </w:r>
                </w:p>
              </w:tc>
              <w:tc>
                <w:tcPr>
                  <w:tcW w:w="535" w:type="pct"/>
                  <w:vMerge w:val="restart"/>
                  <w:vAlign w:val="center"/>
                </w:tcPr>
                <w:p>
                  <w:pPr>
                    <w:tabs>
                      <w:tab w:val="left" w:pos="0"/>
                    </w:tabs>
                    <w:adjustRightInd w:val="0"/>
                    <w:snapToGrid w:val="0"/>
                    <w:jc w:val="center"/>
                    <w:textAlignment w:val="baseline"/>
                    <w:rPr>
                      <w:b/>
                      <w:color w:val="000000"/>
                      <w:spacing w:val="4"/>
                      <w:szCs w:val="21"/>
                    </w:rPr>
                  </w:pPr>
                  <w:r>
                    <w:rPr>
                      <w:b/>
                      <w:color w:val="000000"/>
                      <w:spacing w:val="4"/>
                      <w:szCs w:val="21"/>
                    </w:rPr>
                    <w:t>排放方式及去向</w:t>
                  </w:r>
                </w:p>
              </w:tc>
              <w:tc>
                <w:tcPr>
                  <w:tcW w:w="308" w:type="pct"/>
                  <w:vMerge w:val="restart"/>
                  <w:vAlign w:val="center"/>
                </w:tcPr>
                <w:p>
                  <w:pPr>
                    <w:tabs>
                      <w:tab w:val="left" w:pos="0"/>
                    </w:tabs>
                    <w:adjustRightInd w:val="0"/>
                    <w:snapToGrid w:val="0"/>
                    <w:jc w:val="center"/>
                    <w:textAlignment w:val="baseline"/>
                    <w:rPr>
                      <w:b/>
                      <w:color w:val="000000"/>
                      <w:spacing w:val="4"/>
                      <w:szCs w:val="21"/>
                    </w:rPr>
                  </w:pPr>
                  <w:r>
                    <w:rPr>
                      <w:rFonts w:hint="eastAsia"/>
                      <w:b/>
                      <w:color w:val="000000"/>
                      <w:spacing w:val="4"/>
                      <w:szCs w:val="21"/>
                    </w:rPr>
                    <w:t>工作时间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atLeast"/>
                <w:jc w:val="center"/>
              </w:trPr>
              <w:tc>
                <w:tcPr>
                  <w:tcW w:w="397" w:type="pct"/>
                  <w:vMerge w:val="continue"/>
                  <w:vAlign w:val="center"/>
                </w:tcPr>
                <w:p>
                  <w:pPr>
                    <w:tabs>
                      <w:tab w:val="left" w:pos="0"/>
                    </w:tabs>
                    <w:adjustRightInd w:val="0"/>
                    <w:snapToGrid w:val="0"/>
                    <w:jc w:val="center"/>
                    <w:textAlignment w:val="baseline"/>
                    <w:rPr>
                      <w:b/>
                      <w:color w:val="000000"/>
                      <w:spacing w:val="4"/>
                      <w:szCs w:val="21"/>
                    </w:rPr>
                  </w:pPr>
                </w:p>
              </w:tc>
              <w:tc>
                <w:tcPr>
                  <w:tcW w:w="349" w:type="pct"/>
                  <w:vMerge w:val="continue"/>
                  <w:vAlign w:val="center"/>
                </w:tcPr>
                <w:p>
                  <w:pPr>
                    <w:tabs>
                      <w:tab w:val="left" w:pos="0"/>
                    </w:tabs>
                    <w:adjustRightInd w:val="0"/>
                    <w:snapToGrid w:val="0"/>
                    <w:jc w:val="center"/>
                    <w:textAlignment w:val="baseline"/>
                    <w:rPr>
                      <w:b/>
                      <w:color w:val="000000"/>
                      <w:spacing w:val="4"/>
                      <w:szCs w:val="21"/>
                    </w:rPr>
                  </w:pPr>
                </w:p>
              </w:tc>
              <w:tc>
                <w:tcPr>
                  <w:tcW w:w="371" w:type="pct"/>
                  <w:vMerge w:val="continue"/>
                  <w:vAlign w:val="center"/>
                </w:tcPr>
                <w:p>
                  <w:pPr>
                    <w:tabs>
                      <w:tab w:val="left" w:pos="0"/>
                    </w:tabs>
                    <w:adjustRightInd w:val="0"/>
                    <w:snapToGrid w:val="0"/>
                    <w:jc w:val="center"/>
                    <w:textAlignment w:val="baseline"/>
                    <w:rPr>
                      <w:b/>
                      <w:color w:val="000000"/>
                      <w:spacing w:val="4"/>
                      <w:szCs w:val="21"/>
                    </w:rPr>
                  </w:pPr>
                </w:p>
              </w:tc>
              <w:tc>
                <w:tcPr>
                  <w:tcW w:w="441" w:type="pct"/>
                  <w:vAlign w:val="center"/>
                </w:tcPr>
                <w:p>
                  <w:pPr>
                    <w:tabs>
                      <w:tab w:val="left" w:pos="0"/>
                    </w:tabs>
                    <w:adjustRightInd w:val="0"/>
                    <w:snapToGrid w:val="0"/>
                    <w:jc w:val="center"/>
                    <w:textAlignment w:val="baseline"/>
                    <w:rPr>
                      <w:b/>
                      <w:color w:val="000000"/>
                      <w:spacing w:val="4"/>
                      <w:szCs w:val="21"/>
                    </w:rPr>
                  </w:pPr>
                  <w:r>
                    <w:rPr>
                      <w:b/>
                      <w:color w:val="000000"/>
                      <w:spacing w:val="4"/>
                      <w:szCs w:val="21"/>
                    </w:rPr>
                    <w:t>浓度</w:t>
                  </w:r>
                </w:p>
                <w:p>
                  <w:pPr>
                    <w:tabs>
                      <w:tab w:val="left" w:pos="0"/>
                    </w:tabs>
                    <w:adjustRightInd w:val="0"/>
                    <w:snapToGrid w:val="0"/>
                    <w:jc w:val="center"/>
                    <w:textAlignment w:val="baseline"/>
                    <w:rPr>
                      <w:b/>
                      <w:color w:val="000000"/>
                      <w:spacing w:val="4"/>
                      <w:szCs w:val="21"/>
                    </w:rPr>
                  </w:pPr>
                  <w:r>
                    <w:rPr>
                      <w:b/>
                      <w:color w:val="000000"/>
                      <w:spacing w:val="4"/>
                      <w:szCs w:val="21"/>
                    </w:rPr>
                    <w:t>mg/m</w:t>
                  </w:r>
                  <w:r>
                    <w:rPr>
                      <w:b/>
                      <w:color w:val="000000"/>
                      <w:spacing w:val="4"/>
                      <w:szCs w:val="21"/>
                      <w:vertAlign w:val="superscript"/>
                    </w:rPr>
                    <w:t>3</w:t>
                  </w:r>
                </w:p>
              </w:tc>
              <w:tc>
                <w:tcPr>
                  <w:tcW w:w="344" w:type="pct"/>
                  <w:vAlign w:val="center"/>
                </w:tcPr>
                <w:p>
                  <w:pPr>
                    <w:tabs>
                      <w:tab w:val="left" w:pos="0"/>
                    </w:tabs>
                    <w:adjustRightInd w:val="0"/>
                    <w:snapToGrid w:val="0"/>
                    <w:jc w:val="center"/>
                    <w:textAlignment w:val="baseline"/>
                    <w:rPr>
                      <w:b/>
                      <w:color w:val="000000"/>
                      <w:spacing w:val="4"/>
                      <w:szCs w:val="21"/>
                    </w:rPr>
                  </w:pPr>
                  <w:r>
                    <w:rPr>
                      <w:b/>
                      <w:color w:val="000000"/>
                      <w:spacing w:val="4"/>
                      <w:szCs w:val="21"/>
                    </w:rPr>
                    <w:t>速率</w:t>
                  </w:r>
                </w:p>
                <w:p>
                  <w:pPr>
                    <w:tabs>
                      <w:tab w:val="left" w:pos="0"/>
                    </w:tabs>
                    <w:adjustRightInd w:val="0"/>
                    <w:snapToGrid w:val="0"/>
                    <w:jc w:val="center"/>
                    <w:textAlignment w:val="baseline"/>
                    <w:rPr>
                      <w:b/>
                      <w:color w:val="000000"/>
                      <w:spacing w:val="4"/>
                      <w:szCs w:val="21"/>
                    </w:rPr>
                  </w:pPr>
                  <w:r>
                    <w:rPr>
                      <w:b/>
                      <w:color w:val="000000"/>
                      <w:spacing w:val="4"/>
                      <w:szCs w:val="21"/>
                    </w:rPr>
                    <w:t>kg/h</w:t>
                  </w:r>
                </w:p>
              </w:tc>
              <w:tc>
                <w:tcPr>
                  <w:tcW w:w="342" w:type="pct"/>
                  <w:vAlign w:val="center"/>
                </w:tcPr>
                <w:p>
                  <w:pPr>
                    <w:tabs>
                      <w:tab w:val="left" w:pos="0"/>
                    </w:tabs>
                    <w:adjustRightInd w:val="0"/>
                    <w:snapToGrid w:val="0"/>
                    <w:jc w:val="center"/>
                    <w:textAlignment w:val="baseline"/>
                    <w:rPr>
                      <w:b/>
                      <w:color w:val="000000"/>
                      <w:spacing w:val="4"/>
                      <w:szCs w:val="21"/>
                    </w:rPr>
                  </w:pPr>
                  <w:r>
                    <w:rPr>
                      <w:b/>
                      <w:color w:val="000000"/>
                      <w:spacing w:val="4"/>
                      <w:szCs w:val="21"/>
                    </w:rPr>
                    <w:t>产生量t/a</w:t>
                  </w:r>
                </w:p>
              </w:tc>
              <w:tc>
                <w:tcPr>
                  <w:tcW w:w="266" w:type="pct"/>
                  <w:vMerge w:val="continue"/>
                  <w:vAlign w:val="center"/>
                </w:tcPr>
                <w:p>
                  <w:pPr>
                    <w:tabs>
                      <w:tab w:val="left" w:pos="0"/>
                    </w:tabs>
                    <w:adjustRightInd w:val="0"/>
                    <w:snapToGrid w:val="0"/>
                    <w:jc w:val="center"/>
                    <w:textAlignment w:val="baseline"/>
                    <w:rPr>
                      <w:b/>
                      <w:color w:val="000000"/>
                      <w:spacing w:val="4"/>
                      <w:szCs w:val="21"/>
                    </w:rPr>
                  </w:pPr>
                </w:p>
              </w:tc>
              <w:tc>
                <w:tcPr>
                  <w:tcW w:w="239" w:type="pct"/>
                  <w:vMerge w:val="continue"/>
                  <w:vAlign w:val="center"/>
                </w:tcPr>
                <w:p>
                  <w:pPr>
                    <w:tabs>
                      <w:tab w:val="left" w:pos="0"/>
                    </w:tabs>
                    <w:adjustRightInd w:val="0"/>
                    <w:snapToGrid w:val="0"/>
                    <w:jc w:val="center"/>
                    <w:textAlignment w:val="baseline"/>
                    <w:rPr>
                      <w:b/>
                      <w:color w:val="000000"/>
                      <w:spacing w:val="4"/>
                      <w:szCs w:val="21"/>
                    </w:rPr>
                  </w:pPr>
                </w:p>
              </w:tc>
              <w:tc>
                <w:tcPr>
                  <w:tcW w:w="250" w:type="pct"/>
                  <w:vMerge w:val="continue"/>
                  <w:vAlign w:val="center"/>
                </w:tcPr>
                <w:p>
                  <w:pPr>
                    <w:tabs>
                      <w:tab w:val="left" w:pos="0"/>
                    </w:tabs>
                    <w:adjustRightInd w:val="0"/>
                    <w:snapToGrid w:val="0"/>
                    <w:jc w:val="center"/>
                    <w:textAlignment w:val="baseline"/>
                    <w:rPr>
                      <w:b/>
                      <w:color w:val="000000"/>
                      <w:spacing w:val="4"/>
                      <w:szCs w:val="21"/>
                    </w:rPr>
                  </w:pPr>
                </w:p>
              </w:tc>
              <w:tc>
                <w:tcPr>
                  <w:tcW w:w="425" w:type="pct"/>
                  <w:vAlign w:val="center"/>
                </w:tcPr>
                <w:p>
                  <w:pPr>
                    <w:tabs>
                      <w:tab w:val="left" w:pos="0"/>
                    </w:tabs>
                    <w:adjustRightInd w:val="0"/>
                    <w:snapToGrid w:val="0"/>
                    <w:jc w:val="center"/>
                    <w:textAlignment w:val="baseline"/>
                    <w:rPr>
                      <w:b/>
                      <w:color w:val="000000"/>
                      <w:spacing w:val="4"/>
                      <w:szCs w:val="21"/>
                    </w:rPr>
                  </w:pPr>
                  <w:r>
                    <w:rPr>
                      <w:b/>
                      <w:color w:val="000000"/>
                      <w:spacing w:val="4"/>
                      <w:szCs w:val="21"/>
                    </w:rPr>
                    <w:t>浓度mg/m</w:t>
                  </w:r>
                  <w:r>
                    <w:rPr>
                      <w:b/>
                      <w:color w:val="000000"/>
                      <w:spacing w:val="4"/>
                      <w:szCs w:val="21"/>
                      <w:vertAlign w:val="superscript"/>
                    </w:rPr>
                    <w:t>3</w:t>
                  </w:r>
                </w:p>
              </w:tc>
              <w:tc>
                <w:tcPr>
                  <w:tcW w:w="366" w:type="pct"/>
                  <w:vAlign w:val="center"/>
                </w:tcPr>
                <w:p>
                  <w:pPr>
                    <w:tabs>
                      <w:tab w:val="left" w:pos="0"/>
                    </w:tabs>
                    <w:adjustRightInd w:val="0"/>
                    <w:snapToGrid w:val="0"/>
                    <w:jc w:val="center"/>
                    <w:textAlignment w:val="baseline"/>
                    <w:rPr>
                      <w:b/>
                      <w:color w:val="000000"/>
                      <w:spacing w:val="4"/>
                      <w:szCs w:val="21"/>
                    </w:rPr>
                  </w:pPr>
                  <w:r>
                    <w:rPr>
                      <w:b/>
                      <w:color w:val="000000"/>
                      <w:spacing w:val="4"/>
                      <w:szCs w:val="21"/>
                    </w:rPr>
                    <w:t>速率</w:t>
                  </w:r>
                </w:p>
                <w:p>
                  <w:pPr>
                    <w:tabs>
                      <w:tab w:val="left" w:pos="0"/>
                    </w:tabs>
                    <w:adjustRightInd w:val="0"/>
                    <w:snapToGrid w:val="0"/>
                    <w:jc w:val="center"/>
                    <w:textAlignment w:val="baseline"/>
                    <w:rPr>
                      <w:b/>
                      <w:color w:val="000000"/>
                      <w:spacing w:val="4"/>
                      <w:szCs w:val="21"/>
                    </w:rPr>
                  </w:pPr>
                  <w:r>
                    <w:rPr>
                      <w:b/>
                      <w:color w:val="000000"/>
                      <w:spacing w:val="4"/>
                      <w:szCs w:val="21"/>
                    </w:rPr>
                    <w:t>kg/h</w:t>
                  </w:r>
                </w:p>
              </w:tc>
              <w:tc>
                <w:tcPr>
                  <w:tcW w:w="362" w:type="pct"/>
                  <w:vAlign w:val="center"/>
                </w:tcPr>
                <w:p>
                  <w:pPr>
                    <w:tabs>
                      <w:tab w:val="left" w:pos="0"/>
                    </w:tabs>
                    <w:adjustRightInd w:val="0"/>
                    <w:snapToGrid w:val="0"/>
                    <w:jc w:val="center"/>
                    <w:textAlignment w:val="baseline"/>
                    <w:rPr>
                      <w:b/>
                      <w:color w:val="000000"/>
                      <w:spacing w:val="4"/>
                      <w:szCs w:val="21"/>
                    </w:rPr>
                  </w:pPr>
                  <w:r>
                    <w:rPr>
                      <w:b/>
                      <w:color w:val="000000"/>
                      <w:spacing w:val="4"/>
                      <w:szCs w:val="21"/>
                    </w:rPr>
                    <w:t>排放量t/a</w:t>
                  </w:r>
                </w:p>
              </w:tc>
              <w:tc>
                <w:tcPr>
                  <w:tcW w:w="535" w:type="pct"/>
                  <w:vMerge w:val="continue"/>
                  <w:vAlign w:val="center"/>
                </w:tcPr>
                <w:p>
                  <w:pPr>
                    <w:tabs>
                      <w:tab w:val="left" w:pos="0"/>
                    </w:tabs>
                    <w:adjustRightInd w:val="0"/>
                    <w:snapToGrid w:val="0"/>
                    <w:jc w:val="center"/>
                    <w:textAlignment w:val="baseline"/>
                    <w:rPr>
                      <w:b/>
                      <w:color w:val="000000"/>
                      <w:spacing w:val="4"/>
                      <w:szCs w:val="21"/>
                    </w:rPr>
                  </w:pPr>
                </w:p>
              </w:tc>
              <w:tc>
                <w:tcPr>
                  <w:tcW w:w="308" w:type="pct"/>
                  <w:vMerge w:val="continue"/>
                  <w:vAlign w:val="center"/>
                </w:tcPr>
                <w:p>
                  <w:pPr>
                    <w:tabs>
                      <w:tab w:val="left" w:pos="0"/>
                    </w:tabs>
                    <w:adjustRightInd w:val="0"/>
                    <w:snapToGrid w:val="0"/>
                    <w:jc w:val="center"/>
                    <w:textAlignment w:val="baseline"/>
                    <w:rPr>
                      <w:b/>
                      <w:color w:val="000000"/>
                      <w:spacing w:val="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397" w:type="pct"/>
                  <w:vMerge w:val="restar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DA001</w:t>
                  </w:r>
                </w:p>
              </w:tc>
              <w:tc>
                <w:tcPr>
                  <w:tcW w:w="349" w:type="pct"/>
                  <w:vMerge w:val="restar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10</w:t>
                  </w:r>
                  <w:r>
                    <w:rPr>
                      <w:bCs/>
                      <w:color w:val="000000"/>
                      <w:spacing w:val="4"/>
                      <w:szCs w:val="21"/>
                    </w:rPr>
                    <w:t>000</w:t>
                  </w:r>
                </w:p>
              </w:tc>
              <w:tc>
                <w:tcPr>
                  <w:tcW w:w="371" w:type="pct"/>
                  <w:vMerge w:val="restar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非甲烷总烃</w:t>
                  </w:r>
                </w:p>
              </w:tc>
              <w:tc>
                <w:tcPr>
                  <w:tcW w:w="441"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7.6</w:t>
                  </w:r>
                </w:p>
              </w:tc>
              <w:tc>
                <w:tcPr>
                  <w:tcW w:w="344" w:type="pc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0.</w:t>
                  </w:r>
                  <w:r>
                    <w:rPr>
                      <w:rFonts w:hint="eastAsia"/>
                      <w:bCs/>
                      <w:color w:val="000000"/>
                      <w:spacing w:val="4"/>
                      <w:szCs w:val="21"/>
                    </w:rPr>
                    <w:t>076</w:t>
                  </w:r>
                </w:p>
              </w:tc>
              <w:tc>
                <w:tcPr>
                  <w:tcW w:w="342"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0.228</w:t>
                  </w:r>
                </w:p>
              </w:tc>
              <w:tc>
                <w:tcPr>
                  <w:tcW w:w="266"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9</w:t>
                  </w:r>
                  <w:r>
                    <w:rPr>
                      <w:bCs/>
                      <w:color w:val="000000"/>
                      <w:spacing w:val="4"/>
                      <w:szCs w:val="21"/>
                    </w:rPr>
                    <w:t>0</w:t>
                  </w:r>
                </w:p>
              </w:tc>
              <w:tc>
                <w:tcPr>
                  <w:tcW w:w="239" w:type="pct"/>
                  <w:vMerge w:val="restar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二级</w:t>
                  </w:r>
                  <w:r>
                    <w:rPr>
                      <w:bCs/>
                      <w:color w:val="000000"/>
                      <w:spacing w:val="4"/>
                      <w:szCs w:val="21"/>
                    </w:rPr>
                    <w:t>活性炭吸附</w:t>
                  </w:r>
                </w:p>
              </w:tc>
              <w:tc>
                <w:tcPr>
                  <w:tcW w:w="250" w:type="pc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90</w:t>
                  </w:r>
                </w:p>
              </w:tc>
              <w:tc>
                <w:tcPr>
                  <w:tcW w:w="425" w:type="pct"/>
                  <w:vAlign w:val="center"/>
                </w:tcPr>
                <w:p>
                  <w:pPr>
                    <w:tabs>
                      <w:tab w:val="left" w:pos="0"/>
                    </w:tabs>
                    <w:adjustRightInd w:val="0"/>
                    <w:snapToGrid w:val="0"/>
                    <w:jc w:val="center"/>
                    <w:textAlignment w:val="baseline"/>
                    <w:rPr>
                      <w:bCs/>
                      <w:color w:val="000000"/>
                      <w:spacing w:val="4"/>
                      <w:szCs w:val="21"/>
                      <w:lang w:bidi="ar"/>
                    </w:rPr>
                  </w:pPr>
                  <w:r>
                    <w:rPr>
                      <w:rFonts w:hint="eastAsia"/>
                      <w:bCs/>
                      <w:color w:val="000000"/>
                      <w:spacing w:val="4"/>
                      <w:szCs w:val="21"/>
                      <w:lang w:bidi="ar"/>
                    </w:rPr>
                    <w:t>0.684</w:t>
                  </w:r>
                </w:p>
              </w:tc>
              <w:tc>
                <w:tcPr>
                  <w:tcW w:w="366" w:type="pct"/>
                  <w:vAlign w:val="center"/>
                </w:tcPr>
                <w:p>
                  <w:pPr>
                    <w:tabs>
                      <w:tab w:val="left" w:pos="0"/>
                    </w:tabs>
                    <w:adjustRightInd w:val="0"/>
                    <w:snapToGrid w:val="0"/>
                    <w:jc w:val="center"/>
                    <w:textAlignment w:val="baseline"/>
                    <w:rPr>
                      <w:bCs/>
                      <w:color w:val="000000"/>
                      <w:spacing w:val="4"/>
                      <w:szCs w:val="21"/>
                      <w:lang w:bidi="ar"/>
                    </w:rPr>
                  </w:pPr>
                  <w:r>
                    <w:rPr>
                      <w:bCs/>
                      <w:color w:val="000000"/>
                      <w:spacing w:val="4"/>
                      <w:szCs w:val="21"/>
                      <w:lang w:bidi="ar"/>
                    </w:rPr>
                    <w:t>0.0</w:t>
                  </w:r>
                  <w:r>
                    <w:rPr>
                      <w:rFonts w:hint="eastAsia"/>
                      <w:bCs/>
                      <w:color w:val="000000"/>
                      <w:spacing w:val="4"/>
                      <w:szCs w:val="21"/>
                      <w:lang w:bidi="ar"/>
                    </w:rPr>
                    <w:t>7</w:t>
                  </w:r>
                </w:p>
              </w:tc>
              <w:tc>
                <w:tcPr>
                  <w:tcW w:w="362" w:type="pct"/>
                  <w:vAlign w:val="center"/>
                </w:tcPr>
                <w:p>
                  <w:pPr>
                    <w:tabs>
                      <w:tab w:val="left" w:pos="0"/>
                    </w:tabs>
                    <w:adjustRightInd w:val="0"/>
                    <w:snapToGrid w:val="0"/>
                    <w:jc w:val="center"/>
                    <w:textAlignment w:val="baseline"/>
                    <w:rPr>
                      <w:bCs/>
                      <w:color w:val="000000"/>
                      <w:spacing w:val="4"/>
                      <w:szCs w:val="21"/>
                      <w:lang w:bidi="ar"/>
                    </w:rPr>
                  </w:pPr>
                  <w:r>
                    <w:rPr>
                      <w:rFonts w:hint="eastAsia"/>
                      <w:bCs/>
                      <w:color w:val="000000"/>
                      <w:spacing w:val="4"/>
                      <w:szCs w:val="21"/>
                      <w:lang w:bidi="ar"/>
                    </w:rPr>
                    <w:t>0.021</w:t>
                  </w:r>
                </w:p>
              </w:tc>
              <w:tc>
                <w:tcPr>
                  <w:tcW w:w="535" w:type="pct"/>
                  <w:vMerge w:val="restar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15m高</w:t>
                  </w:r>
                  <w:r>
                    <w:rPr>
                      <w:rFonts w:hint="eastAsia"/>
                      <w:bCs/>
                      <w:color w:val="000000"/>
                      <w:spacing w:val="4"/>
                      <w:szCs w:val="21"/>
                    </w:rPr>
                    <w:t>DA01</w:t>
                  </w:r>
                  <w:r>
                    <w:rPr>
                      <w:bCs/>
                      <w:color w:val="000000"/>
                      <w:spacing w:val="4"/>
                      <w:szCs w:val="21"/>
                    </w:rPr>
                    <w:t>排气筒排放</w:t>
                  </w:r>
                </w:p>
              </w:tc>
              <w:tc>
                <w:tcPr>
                  <w:tcW w:w="308"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3000h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397" w:type="pct"/>
                  <w:vMerge w:val="continue"/>
                  <w:vAlign w:val="center"/>
                </w:tcPr>
                <w:p>
                  <w:pPr>
                    <w:tabs>
                      <w:tab w:val="left" w:pos="0"/>
                    </w:tabs>
                    <w:adjustRightInd w:val="0"/>
                    <w:snapToGrid w:val="0"/>
                    <w:jc w:val="center"/>
                    <w:textAlignment w:val="baseline"/>
                    <w:rPr>
                      <w:bCs/>
                      <w:color w:val="000000"/>
                      <w:spacing w:val="4"/>
                      <w:szCs w:val="21"/>
                    </w:rPr>
                  </w:pPr>
                </w:p>
              </w:tc>
              <w:tc>
                <w:tcPr>
                  <w:tcW w:w="349" w:type="pct"/>
                  <w:vMerge w:val="continue"/>
                  <w:vAlign w:val="center"/>
                </w:tcPr>
                <w:p>
                  <w:pPr>
                    <w:tabs>
                      <w:tab w:val="left" w:pos="0"/>
                    </w:tabs>
                    <w:adjustRightInd w:val="0"/>
                    <w:snapToGrid w:val="0"/>
                    <w:jc w:val="center"/>
                    <w:textAlignment w:val="baseline"/>
                    <w:rPr>
                      <w:bCs/>
                      <w:color w:val="000000"/>
                      <w:spacing w:val="4"/>
                      <w:szCs w:val="21"/>
                    </w:rPr>
                  </w:pPr>
                </w:p>
              </w:tc>
              <w:tc>
                <w:tcPr>
                  <w:tcW w:w="371" w:type="pct"/>
                  <w:vMerge w:val="continue"/>
                  <w:vAlign w:val="center"/>
                </w:tcPr>
                <w:p>
                  <w:pPr>
                    <w:tabs>
                      <w:tab w:val="left" w:pos="0"/>
                    </w:tabs>
                    <w:adjustRightInd w:val="0"/>
                    <w:snapToGrid w:val="0"/>
                    <w:jc w:val="center"/>
                    <w:textAlignment w:val="baseline"/>
                    <w:rPr>
                      <w:bCs/>
                      <w:color w:val="000000"/>
                      <w:spacing w:val="4"/>
                      <w:szCs w:val="21"/>
                    </w:rPr>
                  </w:pPr>
                </w:p>
              </w:tc>
              <w:tc>
                <w:tcPr>
                  <w:tcW w:w="441"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2.22</w:t>
                  </w:r>
                </w:p>
              </w:tc>
              <w:tc>
                <w:tcPr>
                  <w:tcW w:w="344"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0.022</w:t>
                  </w:r>
                </w:p>
              </w:tc>
              <w:tc>
                <w:tcPr>
                  <w:tcW w:w="342"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0.16</w:t>
                  </w:r>
                </w:p>
              </w:tc>
              <w:tc>
                <w:tcPr>
                  <w:tcW w:w="266"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9</w:t>
                  </w:r>
                  <w:r>
                    <w:rPr>
                      <w:bCs/>
                      <w:color w:val="000000"/>
                      <w:spacing w:val="4"/>
                      <w:szCs w:val="21"/>
                    </w:rPr>
                    <w:t>0</w:t>
                  </w:r>
                </w:p>
              </w:tc>
              <w:tc>
                <w:tcPr>
                  <w:tcW w:w="239" w:type="pct"/>
                  <w:vMerge w:val="continue"/>
                  <w:vAlign w:val="center"/>
                </w:tcPr>
                <w:p>
                  <w:pPr>
                    <w:tabs>
                      <w:tab w:val="left" w:pos="0"/>
                    </w:tabs>
                    <w:adjustRightInd w:val="0"/>
                    <w:snapToGrid w:val="0"/>
                    <w:jc w:val="center"/>
                    <w:textAlignment w:val="baseline"/>
                    <w:rPr>
                      <w:bCs/>
                      <w:color w:val="000000"/>
                      <w:spacing w:val="4"/>
                      <w:szCs w:val="21"/>
                    </w:rPr>
                  </w:pPr>
                </w:p>
              </w:tc>
              <w:tc>
                <w:tcPr>
                  <w:tcW w:w="250" w:type="pc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90</w:t>
                  </w:r>
                </w:p>
              </w:tc>
              <w:tc>
                <w:tcPr>
                  <w:tcW w:w="425" w:type="pct"/>
                  <w:vAlign w:val="center"/>
                </w:tcPr>
                <w:p>
                  <w:pPr>
                    <w:tabs>
                      <w:tab w:val="left" w:pos="0"/>
                    </w:tabs>
                    <w:adjustRightInd w:val="0"/>
                    <w:snapToGrid w:val="0"/>
                    <w:jc w:val="center"/>
                    <w:textAlignment w:val="baseline"/>
                    <w:rPr>
                      <w:bCs/>
                      <w:color w:val="000000"/>
                      <w:spacing w:val="4"/>
                      <w:szCs w:val="21"/>
                      <w:lang w:bidi="ar"/>
                    </w:rPr>
                  </w:pPr>
                  <w:r>
                    <w:rPr>
                      <w:rFonts w:hint="eastAsia"/>
                      <w:bCs/>
                      <w:color w:val="000000"/>
                      <w:spacing w:val="4"/>
                      <w:szCs w:val="21"/>
                      <w:lang w:bidi="ar"/>
                    </w:rPr>
                    <w:t>0.2</w:t>
                  </w:r>
                </w:p>
              </w:tc>
              <w:tc>
                <w:tcPr>
                  <w:tcW w:w="366" w:type="pct"/>
                  <w:vAlign w:val="center"/>
                </w:tcPr>
                <w:p>
                  <w:pPr>
                    <w:tabs>
                      <w:tab w:val="left" w:pos="0"/>
                    </w:tabs>
                    <w:adjustRightInd w:val="0"/>
                    <w:snapToGrid w:val="0"/>
                    <w:jc w:val="center"/>
                    <w:textAlignment w:val="baseline"/>
                    <w:rPr>
                      <w:bCs/>
                      <w:color w:val="000000"/>
                      <w:spacing w:val="4"/>
                      <w:szCs w:val="21"/>
                      <w:lang w:bidi="ar"/>
                    </w:rPr>
                  </w:pPr>
                  <w:r>
                    <w:rPr>
                      <w:rFonts w:hint="eastAsia"/>
                      <w:bCs/>
                      <w:color w:val="000000"/>
                      <w:spacing w:val="4"/>
                      <w:szCs w:val="21"/>
                      <w:lang w:bidi="ar"/>
                    </w:rPr>
                    <w:t>0.002</w:t>
                  </w:r>
                </w:p>
              </w:tc>
              <w:tc>
                <w:tcPr>
                  <w:tcW w:w="362" w:type="pct"/>
                  <w:vAlign w:val="center"/>
                </w:tcPr>
                <w:p>
                  <w:pPr>
                    <w:tabs>
                      <w:tab w:val="left" w:pos="0"/>
                    </w:tabs>
                    <w:adjustRightInd w:val="0"/>
                    <w:snapToGrid w:val="0"/>
                    <w:jc w:val="center"/>
                    <w:textAlignment w:val="baseline"/>
                    <w:rPr>
                      <w:bCs/>
                      <w:color w:val="000000"/>
                      <w:spacing w:val="4"/>
                      <w:szCs w:val="21"/>
                      <w:lang w:bidi="ar"/>
                    </w:rPr>
                  </w:pPr>
                  <w:r>
                    <w:rPr>
                      <w:rFonts w:hint="eastAsia"/>
                      <w:bCs/>
                      <w:color w:val="000000"/>
                      <w:spacing w:val="4"/>
                      <w:szCs w:val="21"/>
                      <w:lang w:bidi="ar"/>
                    </w:rPr>
                    <w:t>0.0144</w:t>
                  </w:r>
                </w:p>
              </w:tc>
              <w:tc>
                <w:tcPr>
                  <w:tcW w:w="535" w:type="pct"/>
                  <w:vMerge w:val="continue"/>
                  <w:vAlign w:val="center"/>
                </w:tcPr>
                <w:p>
                  <w:pPr>
                    <w:tabs>
                      <w:tab w:val="left" w:pos="0"/>
                    </w:tabs>
                    <w:adjustRightInd w:val="0"/>
                    <w:snapToGrid w:val="0"/>
                    <w:jc w:val="center"/>
                    <w:textAlignment w:val="baseline"/>
                    <w:rPr>
                      <w:bCs/>
                      <w:color w:val="000000"/>
                      <w:spacing w:val="4"/>
                      <w:szCs w:val="21"/>
                    </w:rPr>
                  </w:pPr>
                </w:p>
              </w:tc>
              <w:tc>
                <w:tcPr>
                  <w:tcW w:w="308"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7200h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jc w:val="center"/>
              </w:trPr>
              <w:tc>
                <w:tcPr>
                  <w:tcW w:w="397"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DA002</w:t>
                  </w:r>
                </w:p>
              </w:tc>
              <w:tc>
                <w:tcPr>
                  <w:tcW w:w="349"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15000</w:t>
                  </w:r>
                </w:p>
              </w:tc>
              <w:tc>
                <w:tcPr>
                  <w:tcW w:w="371" w:type="pc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非甲烷总烃</w:t>
                  </w:r>
                </w:p>
              </w:tc>
              <w:tc>
                <w:tcPr>
                  <w:tcW w:w="441" w:type="pct"/>
                  <w:vAlign w:val="center"/>
                </w:tcPr>
                <w:p>
                  <w:pPr>
                    <w:tabs>
                      <w:tab w:val="left" w:pos="0"/>
                    </w:tabs>
                    <w:adjustRightInd w:val="0"/>
                    <w:snapToGrid w:val="0"/>
                    <w:jc w:val="center"/>
                    <w:textAlignment w:val="baseline"/>
                    <w:rPr>
                      <w:rFonts w:hint="default" w:eastAsia="宋体"/>
                      <w:bCs/>
                      <w:color w:val="000000"/>
                      <w:spacing w:val="4"/>
                      <w:szCs w:val="21"/>
                      <w:lang w:val="en-US" w:eastAsia="zh-CN"/>
                    </w:rPr>
                  </w:pPr>
                  <w:r>
                    <w:rPr>
                      <w:rFonts w:hint="eastAsia"/>
                      <w:bCs/>
                      <w:color w:val="000000"/>
                      <w:spacing w:val="4"/>
                      <w:szCs w:val="21"/>
                      <w:lang w:val="en-US" w:eastAsia="zh-CN"/>
                    </w:rPr>
                    <w:t>8.47</w:t>
                  </w:r>
                </w:p>
              </w:tc>
              <w:tc>
                <w:tcPr>
                  <w:tcW w:w="344" w:type="pct"/>
                  <w:vAlign w:val="center"/>
                </w:tcPr>
                <w:p>
                  <w:pPr>
                    <w:tabs>
                      <w:tab w:val="left" w:pos="0"/>
                    </w:tabs>
                    <w:adjustRightInd w:val="0"/>
                    <w:snapToGrid w:val="0"/>
                    <w:jc w:val="center"/>
                    <w:textAlignment w:val="baseline"/>
                    <w:rPr>
                      <w:rFonts w:hint="default" w:eastAsia="宋体"/>
                      <w:bCs/>
                      <w:color w:val="000000"/>
                      <w:spacing w:val="4"/>
                      <w:szCs w:val="21"/>
                      <w:lang w:val="en-US" w:eastAsia="zh-CN"/>
                    </w:rPr>
                  </w:pPr>
                  <w:r>
                    <w:rPr>
                      <w:rFonts w:hint="eastAsia"/>
                      <w:bCs/>
                      <w:color w:val="000000"/>
                      <w:spacing w:val="4"/>
                      <w:szCs w:val="21"/>
                    </w:rPr>
                    <w:t>0.</w:t>
                  </w:r>
                  <w:r>
                    <w:rPr>
                      <w:rFonts w:hint="eastAsia"/>
                      <w:bCs/>
                      <w:color w:val="000000"/>
                      <w:spacing w:val="4"/>
                      <w:szCs w:val="21"/>
                      <w:lang w:val="en-US" w:eastAsia="zh-CN"/>
                    </w:rPr>
                    <w:t>127</w:t>
                  </w:r>
                </w:p>
              </w:tc>
              <w:tc>
                <w:tcPr>
                  <w:tcW w:w="342" w:type="pct"/>
                  <w:vAlign w:val="center"/>
                </w:tcPr>
                <w:p>
                  <w:pPr>
                    <w:tabs>
                      <w:tab w:val="left" w:pos="0"/>
                    </w:tabs>
                    <w:adjustRightInd w:val="0"/>
                    <w:snapToGrid w:val="0"/>
                    <w:jc w:val="center"/>
                    <w:textAlignment w:val="baseline"/>
                    <w:rPr>
                      <w:rFonts w:hint="default" w:eastAsia="宋体"/>
                      <w:bCs/>
                      <w:color w:val="000000"/>
                      <w:spacing w:val="4"/>
                      <w:szCs w:val="21"/>
                      <w:lang w:val="en-US" w:eastAsia="zh-CN"/>
                    </w:rPr>
                  </w:pPr>
                  <w:r>
                    <w:rPr>
                      <w:rFonts w:hint="eastAsia"/>
                      <w:bCs/>
                      <w:color w:val="000000"/>
                      <w:spacing w:val="4"/>
                      <w:szCs w:val="21"/>
                      <w:lang w:val="en-US" w:eastAsia="zh-CN"/>
                    </w:rPr>
                    <w:t>0.9141</w:t>
                  </w:r>
                </w:p>
              </w:tc>
              <w:tc>
                <w:tcPr>
                  <w:tcW w:w="266"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9</w:t>
                  </w:r>
                  <w:r>
                    <w:rPr>
                      <w:bCs/>
                      <w:color w:val="000000"/>
                      <w:spacing w:val="4"/>
                      <w:szCs w:val="21"/>
                    </w:rPr>
                    <w:t>0</w:t>
                  </w:r>
                </w:p>
              </w:tc>
              <w:tc>
                <w:tcPr>
                  <w:tcW w:w="239" w:type="pct"/>
                  <w:vMerge w:val="continue"/>
                  <w:vAlign w:val="center"/>
                </w:tcPr>
                <w:p>
                  <w:pPr>
                    <w:tabs>
                      <w:tab w:val="left" w:pos="0"/>
                    </w:tabs>
                    <w:adjustRightInd w:val="0"/>
                    <w:snapToGrid w:val="0"/>
                    <w:jc w:val="center"/>
                    <w:textAlignment w:val="baseline"/>
                    <w:rPr>
                      <w:bCs/>
                      <w:color w:val="000000"/>
                      <w:spacing w:val="4"/>
                      <w:szCs w:val="21"/>
                    </w:rPr>
                  </w:pPr>
                </w:p>
              </w:tc>
              <w:tc>
                <w:tcPr>
                  <w:tcW w:w="250" w:type="pc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90</w:t>
                  </w:r>
                </w:p>
              </w:tc>
              <w:tc>
                <w:tcPr>
                  <w:tcW w:w="425" w:type="pct"/>
                  <w:vAlign w:val="center"/>
                </w:tcPr>
                <w:p>
                  <w:pPr>
                    <w:tabs>
                      <w:tab w:val="left" w:pos="0"/>
                    </w:tabs>
                    <w:adjustRightInd w:val="0"/>
                    <w:snapToGrid w:val="0"/>
                    <w:jc w:val="center"/>
                    <w:textAlignment w:val="baseline"/>
                    <w:rPr>
                      <w:rFonts w:hint="default" w:eastAsia="宋体"/>
                      <w:bCs/>
                      <w:color w:val="000000"/>
                      <w:spacing w:val="4"/>
                      <w:szCs w:val="21"/>
                      <w:lang w:val="en-US" w:eastAsia="zh-CN" w:bidi="ar"/>
                    </w:rPr>
                  </w:pPr>
                  <w:r>
                    <w:rPr>
                      <w:rFonts w:hint="eastAsia"/>
                      <w:bCs/>
                      <w:color w:val="000000"/>
                      <w:spacing w:val="4"/>
                      <w:szCs w:val="21"/>
                      <w:lang w:val="en-US" w:eastAsia="zh-CN" w:bidi="ar"/>
                    </w:rPr>
                    <w:t>0.76</w:t>
                  </w:r>
                </w:p>
              </w:tc>
              <w:tc>
                <w:tcPr>
                  <w:tcW w:w="366" w:type="pct"/>
                  <w:vAlign w:val="center"/>
                </w:tcPr>
                <w:p>
                  <w:pPr>
                    <w:tabs>
                      <w:tab w:val="left" w:pos="0"/>
                    </w:tabs>
                    <w:adjustRightInd w:val="0"/>
                    <w:snapToGrid w:val="0"/>
                    <w:jc w:val="center"/>
                    <w:textAlignment w:val="baseline"/>
                    <w:rPr>
                      <w:rFonts w:hint="default" w:eastAsia="宋体"/>
                      <w:bCs/>
                      <w:color w:val="000000"/>
                      <w:spacing w:val="4"/>
                      <w:szCs w:val="21"/>
                      <w:lang w:val="en-US" w:eastAsia="zh-CN"/>
                    </w:rPr>
                  </w:pPr>
                  <w:r>
                    <w:rPr>
                      <w:rFonts w:hint="eastAsia"/>
                      <w:bCs/>
                      <w:color w:val="000000"/>
                      <w:spacing w:val="4"/>
                      <w:szCs w:val="21"/>
                    </w:rPr>
                    <w:t>0.0</w:t>
                  </w:r>
                  <w:r>
                    <w:rPr>
                      <w:rFonts w:hint="eastAsia"/>
                      <w:bCs/>
                      <w:color w:val="000000"/>
                      <w:spacing w:val="4"/>
                      <w:szCs w:val="21"/>
                      <w:lang w:val="en-US" w:eastAsia="zh-CN"/>
                    </w:rPr>
                    <w:t>114</w:t>
                  </w:r>
                </w:p>
              </w:tc>
              <w:tc>
                <w:tcPr>
                  <w:tcW w:w="362" w:type="pct"/>
                  <w:vAlign w:val="center"/>
                </w:tcPr>
                <w:p>
                  <w:pPr>
                    <w:tabs>
                      <w:tab w:val="left" w:pos="0"/>
                    </w:tabs>
                    <w:adjustRightInd w:val="0"/>
                    <w:snapToGrid w:val="0"/>
                    <w:jc w:val="center"/>
                    <w:textAlignment w:val="baseline"/>
                    <w:rPr>
                      <w:rFonts w:hint="default" w:eastAsia="宋体"/>
                      <w:bCs/>
                      <w:color w:val="000000"/>
                      <w:spacing w:val="4"/>
                      <w:szCs w:val="21"/>
                      <w:lang w:val="en-US" w:eastAsia="zh-CN"/>
                    </w:rPr>
                  </w:pPr>
                  <w:r>
                    <w:rPr>
                      <w:rFonts w:hint="eastAsia"/>
                      <w:bCs/>
                      <w:color w:val="000000"/>
                      <w:spacing w:val="4"/>
                      <w:szCs w:val="21"/>
                      <w:lang w:val="en-US" w:eastAsia="zh-CN"/>
                    </w:rPr>
                    <w:t>0.0823</w:t>
                  </w:r>
                </w:p>
              </w:tc>
              <w:tc>
                <w:tcPr>
                  <w:tcW w:w="535" w:type="pct"/>
                  <w:vAlign w:val="center"/>
                </w:tcPr>
                <w:p>
                  <w:pPr>
                    <w:tabs>
                      <w:tab w:val="left" w:pos="0"/>
                    </w:tabs>
                    <w:adjustRightInd w:val="0"/>
                    <w:snapToGrid w:val="0"/>
                    <w:jc w:val="center"/>
                    <w:textAlignment w:val="baseline"/>
                    <w:rPr>
                      <w:bCs/>
                      <w:color w:val="000000"/>
                      <w:spacing w:val="4"/>
                      <w:szCs w:val="21"/>
                    </w:rPr>
                  </w:pPr>
                  <w:r>
                    <w:rPr>
                      <w:bCs/>
                      <w:color w:val="000000"/>
                      <w:spacing w:val="4"/>
                      <w:szCs w:val="21"/>
                    </w:rPr>
                    <w:t>15m高</w:t>
                  </w:r>
                  <w:r>
                    <w:rPr>
                      <w:rFonts w:hint="eastAsia"/>
                      <w:bCs/>
                      <w:color w:val="000000"/>
                      <w:spacing w:val="4"/>
                      <w:szCs w:val="21"/>
                    </w:rPr>
                    <w:t>DA002</w:t>
                  </w:r>
                  <w:r>
                    <w:rPr>
                      <w:bCs/>
                      <w:color w:val="000000"/>
                      <w:spacing w:val="4"/>
                      <w:szCs w:val="21"/>
                    </w:rPr>
                    <w:t>排气筒排放</w:t>
                  </w:r>
                </w:p>
              </w:tc>
              <w:tc>
                <w:tcPr>
                  <w:tcW w:w="308" w:type="pct"/>
                  <w:vAlign w:val="center"/>
                </w:tcPr>
                <w:p>
                  <w:pPr>
                    <w:tabs>
                      <w:tab w:val="left" w:pos="0"/>
                    </w:tabs>
                    <w:adjustRightInd w:val="0"/>
                    <w:snapToGrid w:val="0"/>
                    <w:jc w:val="center"/>
                    <w:textAlignment w:val="baseline"/>
                    <w:rPr>
                      <w:bCs/>
                      <w:color w:val="000000"/>
                      <w:spacing w:val="4"/>
                      <w:szCs w:val="21"/>
                    </w:rPr>
                  </w:pPr>
                  <w:r>
                    <w:rPr>
                      <w:rFonts w:hint="eastAsia"/>
                      <w:bCs/>
                      <w:color w:val="000000"/>
                      <w:spacing w:val="4"/>
                      <w:szCs w:val="21"/>
                    </w:rPr>
                    <w:t>7200h</w:t>
                  </w:r>
                </w:p>
              </w:tc>
            </w:tr>
          </w:tbl>
          <w:p>
            <w:pPr>
              <w:tabs>
                <w:tab w:val="left" w:pos="0"/>
              </w:tabs>
              <w:spacing w:before="60"/>
              <w:jc w:val="center"/>
              <w:rPr>
                <w:b/>
                <w:color w:val="000000"/>
                <w:sz w:val="24"/>
              </w:rPr>
            </w:pPr>
            <w:r>
              <w:rPr>
                <w:b/>
                <w:color w:val="000000"/>
                <w:sz w:val="24"/>
              </w:rPr>
              <w:t>表4-</w:t>
            </w:r>
            <w:r>
              <w:rPr>
                <w:rFonts w:hint="eastAsia"/>
                <w:b/>
                <w:color w:val="000000"/>
                <w:sz w:val="24"/>
              </w:rPr>
              <w:t>3</w:t>
            </w:r>
            <w:r>
              <w:rPr>
                <w:b/>
                <w:color w:val="000000"/>
                <w:sz w:val="24"/>
              </w:rPr>
              <w:t xml:space="preserve">  有组织废气排放口情况</w:t>
            </w:r>
          </w:p>
          <w:tbl>
            <w:tblPr>
              <w:tblStyle w:val="20"/>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669"/>
              <w:gridCol w:w="856"/>
              <w:gridCol w:w="1059"/>
              <w:gridCol w:w="960"/>
              <w:gridCol w:w="873"/>
              <w:gridCol w:w="675"/>
              <w:gridCol w:w="751"/>
              <w:gridCol w:w="738"/>
              <w:gridCol w:w="791"/>
              <w:gridCol w:w="811"/>
              <w:gridCol w:w="8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95" w:hRule="atLeast"/>
                <w:jc w:val="center"/>
              </w:trPr>
              <w:tc>
                <w:tcPr>
                  <w:tcW w:w="369" w:type="pct"/>
                  <w:vMerge w:val="restart"/>
                  <w:vAlign w:val="center"/>
                </w:tcPr>
                <w:p>
                  <w:pPr>
                    <w:tabs>
                      <w:tab w:val="left" w:pos="0"/>
                    </w:tabs>
                    <w:jc w:val="center"/>
                    <w:rPr>
                      <w:color w:val="000000"/>
                      <w:szCs w:val="21"/>
                    </w:rPr>
                  </w:pPr>
                </w:p>
              </w:tc>
              <w:tc>
                <w:tcPr>
                  <w:tcW w:w="472" w:type="pct"/>
                  <w:vMerge w:val="restart"/>
                  <w:vAlign w:val="center"/>
                </w:tcPr>
                <w:p>
                  <w:pPr>
                    <w:tabs>
                      <w:tab w:val="left" w:pos="0"/>
                    </w:tabs>
                    <w:jc w:val="center"/>
                    <w:rPr>
                      <w:b/>
                      <w:bCs/>
                      <w:color w:val="000000"/>
                      <w:szCs w:val="21"/>
                    </w:rPr>
                  </w:pPr>
                  <w:r>
                    <w:rPr>
                      <w:b/>
                      <w:bCs/>
                      <w:color w:val="000000"/>
                      <w:szCs w:val="21"/>
                    </w:rPr>
                    <w:t>点源</w:t>
                  </w:r>
                </w:p>
                <w:p>
                  <w:pPr>
                    <w:tabs>
                      <w:tab w:val="left" w:pos="0"/>
                    </w:tabs>
                    <w:jc w:val="center"/>
                    <w:rPr>
                      <w:b/>
                      <w:bCs/>
                      <w:color w:val="000000"/>
                      <w:szCs w:val="21"/>
                    </w:rPr>
                  </w:pPr>
                  <w:r>
                    <w:rPr>
                      <w:b/>
                      <w:bCs/>
                      <w:color w:val="000000"/>
                      <w:szCs w:val="21"/>
                    </w:rPr>
                    <w:t>名称</w:t>
                  </w:r>
                </w:p>
              </w:tc>
              <w:tc>
                <w:tcPr>
                  <w:tcW w:w="1113" w:type="pct"/>
                  <w:gridSpan w:val="2"/>
                  <w:vAlign w:val="center"/>
                </w:tcPr>
                <w:p>
                  <w:pPr>
                    <w:widowControl/>
                    <w:tabs>
                      <w:tab w:val="left" w:pos="0"/>
                    </w:tabs>
                    <w:adjustRightInd w:val="0"/>
                    <w:snapToGrid w:val="0"/>
                    <w:jc w:val="center"/>
                    <w:rPr>
                      <w:b/>
                      <w:bCs/>
                      <w:color w:val="000000"/>
                      <w:szCs w:val="21"/>
                    </w:rPr>
                  </w:pPr>
                  <w:r>
                    <w:rPr>
                      <w:b/>
                      <w:bCs/>
                      <w:color w:val="000000"/>
                      <w:spacing w:val="4"/>
                      <w:kern w:val="0"/>
                      <w:szCs w:val="21"/>
                    </w:rPr>
                    <w:t>坐标</w:t>
                  </w:r>
                </w:p>
              </w:tc>
              <w:tc>
                <w:tcPr>
                  <w:tcW w:w="481" w:type="pct"/>
                  <w:vMerge w:val="restart"/>
                  <w:vAlign w:val="center"/>
                </w:tcPr>
                <w:p>
                  <w:pPr>
                    <w:tabs>
                      <w:tab w:val="left" w:pos="0"/>
                    </w:tabs>
                    <w:jc w:val="center"/>
                    <w:rPr>
                      <w:b/>
                      <w:bCs/>
                      <w:color w:val="000000"/>
                      <w:szCs w:val="21"/>
                    </w:rPr>
                  </w:pPr>
                  <w:r>
                    <w:rPr>
                      <w:b/>
                      <w:bCs/>
                      <w:color w:val="000000"/>
                      <w:szCs w:val="21"/>
                    </w:rPr>
                    <w:t>排气底部海拔高度</w:t>
                  </w:r>
                </w:p>
              </w:tc>
              <w:tc>
                <w:tcPr>
                  <w:tcW w:w="372" w:type="pct"/>
                  <w:vMerge w:val="restart"/>
                  <w:vAlign w:val="center"/>
                </w:tcPr>
                <w:p>
                  <w:pPr>
                    <w:tabs>
                      <w:tab w:val="left" w:pos="0"/>
                    </w:tabs>
                    <w:jc w:val="center"/>
                    <w:rPr>
                      <w:b/>
                      <w:bCs/>
                      <w:color w:val="000000"/>
                      <w:szCs w:val="21"/>
                    </w:rPr>
                  </w:pPr>
                  <w:r>
                    <w:rPr>
                      <w:b/>
                      <w:bCs/>
                      <w:color w:val="000000"/>
                      <w:szCs w:val="21"/>
                    </w:rPr>
                    <w:t>排气筒高度</w:t>
                  </w:r>
                </w:p>
              </w:tc>
              <w:tc>
                <w:tcPr>
                  <w:tcW w:w="414" w:type="pct"/>
                  <w:vMerge w:val="restart"/>
                  <w:vAlign w:val="center"/>
                </w:tcPr>
                <w:p>
                  <w:pPr>
                    <w:tabs>
                      <w:tab w:val="left" w:pos="0"/>
                    </w:tabs>
                    <w:jc w:val="center"/>
                    <w:rPr>
                      <w:b/>
                      <w:bCs/>
                      <w:color w:val="000000"/>
                      <w:szCs w:val="21"/>
                    </w:rPr>
                  </w:pPr>
                  <w:r>
                    <w:rPr>
                      <w:b/>
                      <w:bCs/>
                      <w:color w:val="000000"/>
                      <w:szCs w:val="21"/>
                    </w:rPr>
                    <w:t>排气筒内径</w:t>
                  </w:r>
                </w:p>
              </w:tc>
              <w:tc>
                <w:tcPr>
                  <w:tcW w:w="407" w:type="pct"/>
                  <w:vMerge w:val="restart"/>
                  <w:vAlign w:val="center"/>
                </w:tcPr>
                <w:p>
                  <w:pPr>
                    <w:tabs>
                      <w:tab w:val="left" w:pos="0"/>
                    </w:tabs>
                    <w:jc w:val="center"/>
                    <w:rPr>
                      <w:b/>
                      <w:bCs/>
                      <w:color w:val="000000"/>
                      <w:szCs w:val="21"/>
                    </w:rPr>
                  </w:pPr>
                  <w:r>
                    <w:rPr>
                      <w:b/>
                      <w:bCs/>
                      <w:color w:val="000000"/>
                      <w:szCs w:val="21"/>
                    </w:rPr>
                    <w:t>烟气出口速度</w:t>
                  </w:r>
                </w:p>
              </w:tc>
              <w:tc>
                <w:tcPr>
                  <w:tcW w:w="436" w:type="pct"/>
                  <w:vMerge w:val="restart"/>
                  <w:vAlign w:val="center"/>
                </w:tcPr>
                <w:p>
                  <w:pPr>
                    <w:tabs>
                      <w:tab w:val="left" w:pos="0"/>
                    </w:tabs>
                    <w:jc w:val="center"/>
                    <w:rPr>
                      <w:b/>
                      <w:bCs/>
                      <w:color w:val="000000"/>
                      <w:szCs w:val="21"/>
                    </w:rPr>
                  </w:pPr>
                  <w:r>
                    <w:rPr>
                      <w:b/>
                      <w:bCs/>
                      <w:color w:val="000000"/>
                      <w:szCs w:val="21"/>
                    </w:rPr>
                    <w:t>烟气出口温度</w:t>
                  </w:r>
                </w:p>
              </w:tc>
              <w:tc>
                <w:tcPr>
                  <w:tcW w:w="447" w:type="pct"/>
                  <w:vMerge w:val="restart"/>
                  <w:vAlign w:val="center"/>
                </w:tcPr>
                <w:p>
                  <w:pPr>
                    <w:tabs>
                      <w:tab w:val="left" w:pos="0"/>
                    </w:tabs>
                    <w:jc w:val="center"/>
                    <w:rPr>
                      <w:b/>
                      <w:bCs/>
                      <w:color w:val="000000"/>
                      <w:szCs w:val="21"/>
                    </w:rPr>
                  </w:pPr>
                  <w:r>
                    <w:rPr>
                      <w:b/>
                      <w:bCs/>
                      <w:color w:val="000000"/>
                      <w:szCs w:val="21"/>
                    </w:rPr>
                    <w:t>年排放小时数</w:t>
                  </w:r>
                </w:p>
              </w:tc>
              <w:tc>
                <w:tcPr>
                  <w:tcW w:w="484" w:type="pct"/>
                  <w:vMerge w:val="restart"/>
                  <w:vAlign w:val="center"/>
                </w:tcPr>
                <w:p>
                  <w:pPr>
                    <w:tabs>
                      <w:tab w:val="left" w:pos="0"/>
                    </w:tabs>
                    <w:jc w:val="center"/>
                    <w:rPr>
                      <w:b/>
                      <w:bCs/>
                      <w:color w:val="000000"/>
                      <w:szCs w:val="21"/>
                    </w:rPr>
                  </w:pPr>
                  <w:r>
                    <w:rPr>
                      <w:b/>
                      <w:bCs/>
                      <w:color w:val="000000"/>
                      <w:szCs w:val="21"/>
                    </w:rPr>
                    <w:t>排放</w:t>
                  </w:r>
                </w:p>
                <w:p>
                  <w:pPr>
                    <w:tabs>
                      <w:tab w:val="left" w:pos="0"/>
                    </w:tabs>
                    <w:jc w:val="center"/>
                    <w:rPr>
                      <w:b/>
                      <w:bCs/>
                      <w:color w:val="000000"/>
                      <w:szCs w:val="21"/>
                    </w:rPr>
                  </w:pPr>
                  <w:r>
                    <w:rPr>
                      <w:b/>
                      <w:bCs/>
                      <w:color w:val="000000"/>
                      <w:szCs w:val="21"/>
                    </w:rPr>
                    <w:t>工况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82" w:hRule="atLeast"/>
                <w:jc w:val="center"/>
              </w:trPr>
              <w:tc>
                <w:tcPr>
                  <w:tcW w:w="369" w:type="pct"/>
                  <w:vMerge w:val="continue"/>
                  <w:vAlign w:val="center"/>
                </w:tcPr>
                <w:p>
                  <w:pPr>
                    <w:tabs>
                      <w:tab w:val="left" w:pos="0"/>
                    </w:tabs>
                    <w:jc w:val="center"/>
                    <w:rPr>
                      <w:color w:val="000000"/>
                      <w:sz w:val="24"/>
                    </w:rPr>
                  </w:pPr>
                </w:p>
              </w:tc>
              <w:tc>
                <w:tcPr>
                  <w:tcW w:w="472" w:type="pct"/>
                  <w:vMerge w:val="continue"/>
                  <w:vAlign w:val="center"/>
                </w:tcPr>
                <w:p>
                  <w:pPr>
                    <w:tabs>
                      <w:tab w:val="left" w:pos="0"/>
                    </w:tabs>
                    <w:jc w:val="center"/>
                    <w:rPr>
                      <w:color w:val="000000"/>
                      <w:sz w:val="24"/>
                    </w:rPr>
                  </w:pPr>
                </w:p>
              </w:tc>
              <w:tc>
                <w:tcPr>
                  <w:tcW w:w="584" w:type="pct"/>
                  <w:vAlign w:val="center"/>
                </w:tcPr>
                <w:p>
                  <w:pPr>
                    <w:widowControl/>
                    <w:tabs>
                      <w:tab w:val="left" w:pos="0"/>
                    </w:tabs>
                    <w:jc w:val="center"/>
                    <w:rPr>
                      <w:b/>
                      <w:bCs/>
                      <w:color w:val="000000"/>
                      <w:sz w:val="24"/>
                    </w:rPr>
                  </w:pPr>
                  <w:r>
                    <w:rPr>
                      <w:b/>
                      <w:bCs/>
                      <w:color w:val="000000"/>
                      <w:spacing w:val="4"/>
                      <w:kern w:val="0"/>
                      <w:szCs w:val="21"/>
                    </w:rPr>
                    <w:t>X</w:t>
                  </w:r>
                </w:p>
              </w:tc>
              <w:tc>
                <w:tcPr>
                  <w:tcW w:w="528" w:type="pct"/>
                  <w:vAlign w:val="center"/>
                </w:tcPr>
                <w:p>
                  <w:pPr>
                    <w:widowControl/>
                    <w:tabs>
                      <w:tab w:val="left" w:pos="0"/>
                    </w:tabs>
                    <w:jc w:val="center"/>
                    <w:rPr>
                      <w:b/>
                      <w:bCs/>
                      <w:color w:val="000000"/>
                      <w:sz w:val="24"/>
                    </w:rPr>
                  </w:pPr>
                  <w:r>
                    <w:rPr>
                      <w:b/>
                      <w:bCs/>
                      <w:color w:val="000000"/>
                      <w:spacing w:val="4"/>
                      <w:kern w:val="0"/>
                      <w:szCs w:val="21"/>
                    </w:rPr>
                    <w:t>Y</w:t>
                  </w:r>
                </w:p>
              </w:tc>
              <w:tc>
                <w:tcPr>
                  <w:tcW w:w="481" w:type="pct"/>
                  <w:vMerge w:val="continue"/>
                  <w:vAlign w:val="center"/>
                </w:tcPr>
                <w:p>
                  <w:pPr>
                    <w:tabs>
                      <w:tab w:val="left" w:pos="0"/>
                    </w:tabs>
                    <w:jc w:val="center"/>
                    <w:rPr>
                      <w:color w:val="000000"/>
                      <w:sz w:val="24"/>
                    </w:rPr>
                  </w:pPr>
                </w:p>
              </w:tc>
              <w:tc>
                <w:tcPr>
                  <w:tcW w:w="372" w:type="pct"/>
                  <w:vMerge w:val="continue"/>
                  <w:vAlign w:val="center"/>
                </w:tcPr>
                <w:p>
                  <w:pPr>
                    <w:tabs>
                      <w:tab w:val="left" w:pos="0"/>
                    </w:tabs>
                    <w:jc w:val="center"/>
                    <w:rPr>
                      <w:color w:val="000000"/>
                      <w:sz w:val="24"/>
                    </w:rPr>
                  </w:pPr>
                </w:p>
              </w:tc>
              <w:tc>
                <w:tcPr>
                  <w:tcW w:w="414" w:type="pct"/>
                  <w:vMerge w:val="continue"/>
                  <w:vAlign w:val="center"/>
                </w:tcPr>
                <w:p>
                  <w:pPr>
                    <w:tabs>
                      <w:tab w:val="left" w:pos="0"/>
                    </w:tabs>
                    <w:jc w:val="center"/>
                    <w:rPr>
                      <w:color w:val="000000"/>
                      <w:sz w:val="24"/>
                    </w:rPr>
                  </w:pPr>
                </w:p>
              </w:tc>
              <w:tc>
                <w:tcPr>
                  <w:tcW w:w="407" w:type="pct"/>
                  <w:vMerge w:val="continue"/>
                  <w:vAlign w:val="center"/>
                </w:tcPr>
                <w:p>
                  <w:pPr>
                    <w:tabs>
                      <w:tab w:val="left" w:pos="0"/>
                    </w:tabs>
                    <w:jc w:val="center"/>
                    <w:rPr>
                      <w:color w:val="000000"/>
                      <w:sz w:val="24"/>
                    </w:rPr>
                  </w:pPr>
                </w:p>
              </w:tc>
              <w:tc>
                <w:tcPr>
                  <w:tcW w:w="436" w:type="pct"/>
                  <w:vMerge w:val="continue"/>
                  <w:vAlign w:val="center"/>
                </w:tcPr>
                <w:p>
                  <w:pPr>
                    <w:tabs>
                      <w:tab w:val="left" w:pos="0"/>
                    </w:tabs>
                    <w:jc w:val="center"/>
                    <w:rPr>
                      <w:color w:val="000000"/>
                      <w:sz w:val="24"/>
                    </w:rPr>
                  </w:pPr>
                </w:p>
              </w:tc>
              <w:tc>
                <w:tcPr>
                  <w:tcW w:w="447" w:type="pct"/>
                  <w:vMerge w:val="continue"/>
                  <w:vAlign w:val="center"/>
                </w:tcPr>
                <w:p>
                  <w:pPr>
                    <w:tabs>
                      <w:tab w:val="left" w:pos="0"/>
                    </w:tabs>
                    <w:jc w:val="center"/>
                    <w:rPr>
                      <w:color w:val="000000"/>
                      <w:sz w:val="24"/>
                    </w:rPr>
                  </w:pPr>
                </w:p>
              </w:tc>
              <w:tc>
                <w:tcPr>
                  <w:tcW w:w="484" w:type="pct"/>
                  <w:vMerge w:val="continue"/>
                  <w:vAlign w:val="center"/>
                </w:tcPr>
                <w:p>
                  <w:pPr>
                    <w:tabs>
                      <w:tab w:val="left" w:pos="0"/>
                    </w:tabs>
                    <w:jc w:val="center"/>
                    <w:rPr>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99" w:hRule="atLeast"/>
                <w:jc w:val="center"/>
              </w:trPr>
              <w:tc>
                <w:tcPr>
                  <w:tcW w:w="369" w:type="pct"/>
                  <w:vAlign w:val="center"/>
                </w:tcPr>
                <w:p>
                  <w:pPr>
                    <w:tabs>
                      <w:tab w:val="left" w:pos="0"/>
                    </w:tabs>
                    <w:jc w:val="center"/>
                    <w:rPr>
                      <w:color w:val="000000"/>
                      <w:szCs w:val="21"/>
                    </w:rPr>
                  </w:pPr>
                  <w:r>
                    <w:rPr>
                      <w:color w:val="000000"/>
                      <w:szCs w:val="21"/>
                    </w:rPr>
                    <w:t>符号</w:t>
                  </w:r>
                </w:p>
              </w:tc>
              <w:tc>
                <w:tcPr>
                  <w:tcW w:w="472" w:type="pct"/>
                  <w:vAlign w:val="center"/>
                </w:tcPr>
                <w:p>
                  <w:pPr>
                    <w:tabs>
                      <w:tab w:val="left" w:pos="0"/>
                    </w:tabs>
                    <w:jc w:val="center"/>
                    <w:rPr>
                      <w:color w:val="000000"/>
                      <w:szCs w:val="21"/>
                    </w:rPr>
                  </w:pPr>
                  <w:r>
                    <w:rPr>
                      <w:color w:val="000000"/>
                      <w:szCs w:val="21"/>
                    </w:rPr>
                    <w:t>Name</w:t>
                  </w:r>
                </w:p>
              </w:tc>
              <w:tc>
                <w:tcPr>
                  <w:tcW w:w="1113" w:type="pct"/>
                  <w:gridSpan w:val="2"/>
                  <w:vAlign w:val="center"/>
                </w:tcPr>
                <w:p>
                  <w:pPr>
                    <w:tabs>
                      <w:tab w:val="left" w:pos="0"/>
                    </w:tabs>
                    <w:jc w:val="center"/>
                    <w:rPr>
                      <w:color w:val="000000"/>
                      <w:szCs w:val="21"/>
                    </w:rPr>
                  </w:pPr>
                  <w:r>
                    <w:rPr>
                      <w:color w:val="000000"/>
                      <w:szCs w:val="21"/>
                    </w:rPr>
                    <w:t>/</w:t>
                  </w:r>
                </w:p>
              </w:tc>
              <w:tc>
                <w:tcPr>
                  <w:tcW w:w="481" w:type="pct"/>
                  <w:vAlign w:val="center"/>
                </w:tcPr>
                <w:p>
                  <w:pPr>
                    <w:tabs>
                      <w:tab w:val="left" w:pos="0"/>
                    </w:tabs>
                    <w:jc w:val="center"/>
                    <w:rPr>
                      <w:color w:val="000000"/>
                      <w:szCs w:val="21"/>
                    </w:rPr>
                  </w:pPr>
                  <w:r>
                    <w:rPr>
                      <w:color w:val="000000"/>
                      <w:szCs w:val="21"/>
                    </w:rPr>
                    <w:t>H</w:t>
                  </w:r>
                  <w:r>
                    <w:rPr>
                      <w:color w:val="000000"/>
                      <w:szCs w:val="21"/>
                      <w:vertAlign w:val="subscript"/>
                    </w:rPr>
                    <w:t>0</w:t>
                  </w:r>
                </w:p>
              </w:tc>
              <w:tc>
                <w:tcPr>
                  <w:tcW w:w="372" w:type="pct"/>
                  <w:vAlign w:val="center"/>
                </w:tcPr>
                <w:p>
                  <w:pPr>
                    <w:tabs>
                      <w:tab w:val="left" w:pos="0"/>
                    </w:tabs>
                    <w:jc w:val="center"/>
                    <w:rPr>
                      <w:color w:val="000000"/>
                      <w:szCs w:val="21"/>
                    </w:rPr>
                  </w:pPr>
                  <w:r>
                    <w:rPr>
                      <w:color w:val="000000"/>
                      <w:szCs w:val="21"/>
                    </w:rPr>
                    <w:t>H</w:t>
                  </w:r>
                </w:p>
              </w:tc>
              <w:tc>
                <w:tcPr>
                  <w:tcW w:w="414" w:type="pct"/>
                  <w:vAlign w:val="center"/>
                </w:tcPr>
                <w:p>
                  <w:pPr>
                    <w:tabs>
                      <w:tab w:val="left" w:pos="0"/>
                    </w:tabs>
                    <w:jc w:val="center"/>
                    <w:rPr>
                      <w:color w:val="000000"/>
                      <w:szCs w:val="21"/>
                    </w:rPr>
                  </w:pPr>
                  <w:r>
                    <w:rPr>
                      <w:color w:val="000000"/>
                      <w:szCs w:val="21"/>
                    </w:rPr>
                    <w:t>L</w:t>
                  </w:r>
                  <w:r>
                    <w:rPr>
                      <w:color w:val="000000"/>
                      <w:szCs w:val="21"/>
                      <w:vertAlign w:val="subscript"/>
                    </w:rPr>
                    <w:t>w</w:t>
                  </w:r>
                </w:p>
              </w:tc>
              <w:tc>
                <w:tcPr>
                  <w:tcW w:w="407" w:type="pct"/>
                  <w:vAlign w:val="center"/>
                </w:tcPr>
                <w:p>
                  <w:pPr>
                    <w:tabs>
                      <w:tab w:val="left" w:pos="0"/>
                    </w:tabs>
                    <w:jc w:val="center"/>
                    <w:rPr>
                      <w:color w:val="000000"/>
                      <w:szCs w:val="21"/>
                    </w:rPr>
                  </w:pPr>
                  <w:r>
                    <w:rPr>
                      <w:color w:val="000000"/>
                      <w:szCs w:val="21"/>
                    </w:rPr>
                    <w:t>H</w:t>
                  </w:r>
                </w:p>
              </w:tc>
              <w:tc>
                <w:tcPr>
                  <w:tcW w:w="436" w:type="pct"/>
                  <w:vAlign w:val="center"/>
                </w:tcPr>
                <w:p>
                  <w:pPr>
                    <w:tabs>
                      <w:tab w:val="left" w:pos="0"/>
                    </w:tabs>
                    <w:jc w:val="center"/>
                    <w:rPr>
                      <w:color w:val="000000"/>
                      <w:szCs w:val="21"/>
                    </w:rPr>
                  </w:pPr>
                  <w:r>
                    <w:rPr>
                      <w:color w:val="000000"/>
                      <w:szCs w:val="21"/>
                    </w:rPr>
                    <w:t>T</w:t>
                  </w:r>
                </w:p>
              </w:tc>
              <w:tc>
                <w:tcPr>
                  <w:tcW w:w="447" w:type="pct"/>
                  <w:vAlign w:val="center"/>
                </w:tcPr>
                <w:p>
                  <w:pPr>
                    <w:tabs>
                      <w:tab w:val="left" w:pos="0"/>
                    </w:tabs>
                    <w:jc w:val="center"/>
                    <w:rPr>
                      <w:color w:val="000000"/>
                      <w:szCs w:val="21"/>
                    </w:rPr>
                  </w:pPr>
                  <w:r>
                    <w:rPr>
                      <w:color w:val="000000"/>
                      <w:szCs w:val="21"/>
                    </w:rPr>
                    <w:t>Hr</w:t>
                  </w:r>
                </w:p>
              </w:tc>
              <w:tc>
                <w:tcPr>
                  <w:tcW w:w="484" w:type="pct"/>
                  <w:vAlign w:val="center"/>
                </w:tcPr>
                <w:p>
                  <w:pPr>
                    <w:tabs>
                      <w:tab w:val="left" w:pos="0"/>
                    </w:tabs>
                    <w:jc w:val="center"/>
                    <w:rPr>
                      <w:color w:val="000000"/>
                      <w:szCs w:val="21"/>
                    </w:rPr>
                  </w:pPr>
                  <w:r>
                    <w:rPr>
                      <w:color w:val="000000"/>
                      <w:szCs w:val="21"/>
                    </w:rPr>
                    <w:t>Cond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99" w:hRule="atLeast"/>
                <w:jc w:val="center"/>
              </w:trPr>
              <w:tc>
                <w:tcPr>
                  <w:tcW w:w="369" w:type="pct"/>
                  <w:vAlign w:val="center"/>
                </w:tcPr>
                <w:p>
                  <w:pPr>
                    <w:tabs>
                      <w:tab w:val="left" w:pos="0"/>
                    </w:tabs>
                    <w:jc w:val="center"/>
                    <w:rPr>
                      <w:color w:val="000000"/>
                      <w:szCs w:val="21"/>
                    </w:rPr>
                  </w:pPr>
                  <w:r>
                    <w:rPr>
                      <w:color w:val="000000"/>
                      <w:szCs w:val="21"/>
                    </w:rPr>
                    <w:t>单位</w:t>
                  </w:r>
                </w:p>
              </w:tc>
              <w:tc>
                <w:tcPr>
                  <w:tcW w:w="472" w:type="pct"/>
                  <w:vAlign w:val="center"/>
                </w:tcPr>
                <w:p>
                  <w:pPr>
                    <w:tabs>
                      <w:tab w:val="left" w:pos="0"/>
                    </w:tabs>
                    <w:jc w:val="center"/>
                    <w:rPr>
                      <w:color w:val="000000"/>
                      <w:szCs w:val="21"/>
                    </w:rPr>
                  </w:pPr>
                  <w:r>
                    <w:rPr>
                      <w:color w:val="000000"/>
                      <w:szCs w:val="21"/>
                    </w:rPr>
                    <w:t>/</w:t>
                  </w:r>
                </w:p>
              </w:tc>
              <w:tc>
                <w:tcPr>
                  <w:tcW w:w="1113" w:type="pct"/>
                  <w:gridSpan w:val="2"/>
                  <w:vAlign w:val="center"/>
                </w:tcPr>
                <w:p>
                  <w:pPr>
                    <w:tabs>
                      <w:tab w:val="left" w:pos="0"/>
                    </w:tabs>
                    <w:jc w:val="center"/>
                    <w:rPr>
                      <w:color w:val="000000"/>
                      <w:szCs w:val="21"/>
                    </w:rPr>
                  </w:pPr>
                  <w:r>
                    <w:rPr>
                      <w:color w:val="000000"/>
                      <w:spacing w:val="4"/>
                      <w:kern w:val="0"/>
                      <w:szCs w:val="21"/>
                    </w:rPr>
                    <w:t>°</w:t>
                  </w:r>
                </w:p>
              </w:tc>
              <w:tc>
                <w:tcPr>
                  <w:tcW w:w="481" w:type="pct"/>
                  <w:vAlign w:val="center"/>
                </w:tcPr>
                <w:p>
                  <w:pPr>
                    <w:tabs>
                      <w:tab w:val="left" w:pos="0"/>
                    </w:tabs>
                    <w:jc w:val="center"/>
                    <w:rPr>
                      <w:color w:val="000000"/>
                      <w:szCs w:val="21"/>
                    </w:rPr>
                  </w:pPr>
                  <w:r>
                    <w:rPr>
                      <w:color w:val="000000"/>
                      <w:szCs w:val="21"/>
                    </w:rPr>
                    <w:t>m</w:t>
                  </w:r>
                </w:p>
              </w:tc>
              <w:tc>
                <w:tcPr>
                  <w:tcW w:w="372" w:type="pct"/>
                  <w:vAlign w:val="center"/>
                </w:tcPr>
                <w:p>
                  <w:pPr>
                    <w:tabs>
                      <w:tab w:val="left" w:pos="0"/>
                    </w:tabs>
                    <w:jc w:val="center"/>
                    <w:rPr>
                      <w:color w:val="000000"/>
                      <w:szCs w:val="21"/>
                    </w:rPr>
                  </w:pPr>
                  <w:r>
                    <w:rPr>
                      <w:color w:val="000000"/>
                      <w:szCs w:val="21"/>
                    </w:rPr>
                    <w:t>m</w:t>
                  </w:r>
                </w:p>
              </w:tc>
              <w:tc>
                <w:tcPr>
                  <w:tcW w:w="414" w:type="pct"/>
                  <w:vAlign w:val="center"/>
                </w:tcPr>
                <w:p>
                  <w:pPr>
                    <w:tabs>
                      <w:tab w:val="left" w:pos="0"/>
                    </w:tabs>
                    <w:jc w:val="center"/>
                    <w:rPr>
                      <w:color w:val="000000"/>
                      <w:szCs w:val="21"/>
                    </w:rPr>
                  </w:pPr>
                  <w:r>
                    <w:rPr>
                      <w:color w:val="000000"/>
                      <w:szCs w:val="21"/>
                    </w:rPr>
                    <w:t>m</w:t>
                  </w:r>
                </w:p>
              </w:tc>
              <w:tc>
                <w:tcPr>
                  <w:tcW w:w="407" w:type="pct"/>
                  <w:vAlign w:val="center"/>
                </w:tcPr>
                <w:p>
                  <w:pPr>
                    <w:tabs>
                      <w:tab w:val="left" w:pos="0"/>
                    </w:tabs>
                    <w:jc w:val="center"/>
                    <w:rPr>
                      <w:color w:val="000000"/>
                      <w:szCs w:val="21"/>
                    </w:rPr>
                  </w:pPr>
                  <w:r>
                    <w:rPr>
                      <w:color w:val="000000"/>
                      <w:szCs w:val="21"/>
                    </w:rPr>
                    <w:t>m/s</w:t>
                  </w:r>
                </w:p>
              </w:tc>
              <w:tc>
                <w:tcPr>
                  <w:tcW w:w="436" w:type="pct"/>
                  <w:vAlign w:val="center"/>
                </w:tcPr>
                <w:p>
                  <w:pPr>
                    <w:tabs>
                      <w:tab w:val="left" w:pos="0"/>
                    </w:tabs>
                    <w:jc w:val="center"/>
                    <w:rPr>
                      <w:color w:val="000000"/>
                      <w:szCs w:val="21"/>
                    </w:rPr>
                  </w:pPr>
                  <w:r>
                    <w:rPr>
                      <w:color w:val="000000"/>
                      <w:szCs w:val="21"/>
                    </w:rPr>
                    <w:t>℃</w:t>
                  </w:r>
                </w:p>
              </w:tc>
              <w:tc>
                <w:tcPr>
                  <w:tcW w:w="447" w:type="pct"/>
                  <w:vAlign w:val="center"/>
                </w:tcPr>
                <w:p>
                  <w:pPr>
                    <w:tabs>
                      <w:tab w:val="left" w:pos="0"/>
                    </w:tabs>
                    <w:jc w:val="center"/>
                    <w:rPr>
                      <w:color w:val="000000"/>
                      <w:szCs w:val="21"/>
                    </w:rPr>
                  </w:pPr>
                  <w:r>
                    <w:rPr>
                      <w:color w:val="000000"/>
                      <w:szCs w:val="21"/>
                    </w:rPr>
                    <w:t>h</w:t>
                  </w:r>
                </w:p>
              </w:tc>
              <w:tc>
                <w:tcPr>
                  <w:tcW w:w="484" w:type="pct"/>
                  <w:vAlign w:val="center"/>
                </w:tcPr>
                <w:p>
                  <w:pPr>
                    <w:tabs>
                      <w:tab w:val="left" w:pos="0"/>
                    </w:tabs>
                    <w:jc w:val="center"/>
                    <w:rPr>
                      <w:color w:val="000000"/>
                      <w:szCs w:val="21"/>
                    </w:rPr>
                  </w:pPr>
                  <w:r>
                    <w:rPr>
                      <w:color w:val="00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76" w:hRule="atLeast"/>
                <w:jc w:val="center"/>
              </w:trPr>
              <w:tc>
                <w:tcPr>
                  <w:tcW w:w="369" w:type="pct"/>
                  <w:vMerge w:val="restart"/>
                  <w:vAlign w:val="center"/>
                </w:tcPr>
                <w:p>
                  <w:pPr>
                    <w:tabs>
                      <w:tab w:val="left" w:pos="0"/>
                    </w:tabs>
                    <w:jc w:val="center"/>
                    <w:rPr>
                      <w:color w:val="000000"/>
                      <w:szCs w:val="21"/>
                    </w:rPr>
                  </w:pPr>
                  <w:r>
                    <w:rPr>
                      <w:bCs/>
                      <w:color w:val="000000"/>
                      <w:spacing w:val="4"/>
                      <w:szCs w:val="22"/>
                      <w:lang w:bidi="ar"/>
                    </w:rPr>
                    <w:t>数据</w:t>
                  </w:r>
                </w:p>
              </w:tc>
              <w:tc>
                <w:tcPr>
                  <w:tcW w:w="472" w:type="pct"/>
                  <w:vMerge w:val="restart"/>
                  <w:vAlign w:val="center"/>
                </w:tcPr>
                <w:p>
                  <w:pPr>
                    <w:tabs>
                      <w:tab w:val="left" w:pos="0"/>
                    </w:tabs>
                    <w:rPr>
                      <w:color w:val="000000"/>
                      <w:szCs w:val="21"/>
                    </w:rPr>
                  </w:pPr>
                  <w:r>
                    <w:rPr>
                      <w:rFonts w:hint="eastAsia"/>
                      <w:bCs/>
                      <w:color w:val="000000"/>
                      <w:spacing w:val="4"/>
                      <w:szCs w:val="22"/>
                    </w:rPr>
                    <w:t>DA001</w:t>
                  </w:r>
                </w:p>
              </w:tc>
              <w:tc>
                <w:tcPr>
                  <w:tcW w:w="584" w:type="pct"/>
                  <w:vAlign w:val="center"/>
                </w:tcPr>
                <w:p>
                  <w:pPr>
                    <w:tabs>
                      <w:tab w:val="left" w:pos="0"/>
                    </w:tabs>
                    <w:jc w:val="center"/>
                    <w:rPr>
                      <w:color w:val="000000"/>
                      <w:spacing w:val="4"/>
                      <w:kern w:val="0"/>
                      <w:szCs w:val="21"/>
                    </w:rPr>
                  </w:pPr>
                  <w:r>
                    <w:rPr>
                      <w:color w:val="000000"/>
                      <w:spacing w:val="4"/>
                      <w:kern w:val="0"/>
                      <w:szCs w:val="21"/>
                    </w:rPr>
                    <w:t>120.45</w:t>
                  </w:r>
                  <w:r>
                    <w:rPr>
                      <w:rFonts w:hint="eastAsia"/>
                      <w:color w:val="000000"/>
                      <w:spacing w:val="4"/>
                      <w:kern w:val="0"/>
                      <w:szCs w:val="21"/>
                    </w:rPr>
                    <w:t>29</w:t>
                  </w:r>
                </w:p>
              </w:tc>
              <w:tc>
                <w:tcPr>
                  <w:tcW w:w="528" w:type="pct"/>
                  <w:vAlign w:val="center"/>
                </w:tcPr>
                <w:p>
                  <w:pPr>
                    <w:tabs>
                      <w:tab w:val="left" w:pos="0"/>
                    </w:tabs>
                    <w:jc w:val="center"/>
                    <w:rPr>
                      <w:color w:val="000000"/>
                      <w:spacing w:val="4"/>
                      <w:kern w:val="0"/>
                      <w:szCs w:val="21"/>
                    </w:rPr>
                  </w:pPr>
                  <w:r>
                    <w:rPr>
                      <w:color w:val="000000"/>
                      <w:spacing w:val="4"/>
                      <w:kern w:val="0"/>
                      <w:szCs w:val="21"/>
                    </w:rPr>
                    <w:t>31.385</w:t>
                  </w:r>
                  <w:r>
                    <w:rPr>
                      <w:rFonts w:hint="eastAsia"/>
                      <w:color w:val="000000"/>
                      <w:spacing w:val="4"/>
                      <w:kern w:val="0"/>
                      <w:szCs w:val="21"/>
                    </w:rPr>
                    <w:t>8</w:t>
                  </w:r>
                </w:p>
              </w:tc>
              <w:tc>
                <w:tcPr>
                  <w:tcW w:w="481" w:type="pct"/>
                  <w:vAlign w:val="center"/>
                </w:tcPr>
                <w:p>
                  <w:pPr>
                    <w:tabs>
                      <w:tab w:val="left" w:pos="0"/>
                    </w:tabs>
                    <w:jc w:val="center"/>
                    <w:rPr>
                      <w:color w:val="000000"/>
                      <w:szCs w:val="21"/>
                    </w:rPr>
                  </w:pPr>
                  <w:r>
                    <w:rPr>
                      <w:rFonts w:hint="eastAsia"/>
                      <w:bCs/>
                      <w:color w:val="000000"/>
                      <w:spacing w:val="4"/>
                      <w:szCs w:val="22"/>
                      <w:lang w:bidi="ar"/>
                    </w:rPr>
                    <w:t>12</w:t>
                  </w:r>
                </w:p>
              </w:tc>
              <w:tc>
                <w:tcPr>
                  <w:tcW w:w="372" w:type="pct"/>
                  <w:vAlign w:val="center"/>
                </w:tcPr>
                <w:p>
                  <w:pPr>
                    <w:tabs>
                      <w:tab w:val="left" w:pos="0"/>
                    </w:tabs>
                    <w:jc w:val="center"/>
                    <w:rPr>
                      <w:color w:val="000000"/>
                      <w:szCs w:val="21"/>
                    </w:rPr>
                  </w:pPr>
                  <w:r>
                    <w:rPr>
                      <w:rFonts w:hint="eastAsia"/>
                      <w:bCs/>
                      <w:color w:val="000000"/>
                      <w:spacing w:val="4"/>
                      <w:szCs w:val="22"/>
                      <w:lang w:bidi="ar"/>
                    </w:rPr>
                    <w:t>3</w:t>
                  </w:r>
                  <w:r>
                    <w:rPr>
                      <w:bCs/>
                      <w:color w:val="000000"/>
                      <w:spacing w:val="4"/>
                      <w:szCs w:val="22"/>
                      <w:lang w:bidi="ar"/>
                    </w:rPr>
                    <w:t>.00</w:t>
                  </w:r>
                </w:p>
              </w:tc>
              <w:tc>
                <w:tcPr>
                  <w:tcW w:w="414" w:type="pct"/>
                  <w:vAlign w:val="center"/>
                </w:tcPr>
                <w:p>
                  <w:pPr>
                    <w:tabs>
                      <w:tab w:val="left" w:pos="0"/>
                    </w:tabs>
                    <w:jc w:val="center"/>
                    <w:rPr>
                      <w:color w:val="000000"/>
                      <w:szCs w:val="21"/>
                    </w:rPr>
                  </w:pPr>
                  <w:r>
                    <w:rPr>
                      <w:color w:val="000000"/>
                      <w:szCs w:val="21"/>
                    </w:rPr>
                    <w:t>0.6</w:t>
                  </w:r>
                </w:p>
              </w:tc>
              <w:tc>
                <w:tcPr>
                  <w:tcW w:w="407" w:type="pct"/>
                  <w:vAlign w:val="center"/>
                </w:tcPr>
                <w:p>
                  <w:pPr>
                    <w:tabs>
                      <w:tab w:val="left" w:pos="0"/>
                    </w:tabs>
                    <w:jc w:val="center"/>
                    <w:rPr>
                      <w:color w:val="000000"/>
                      <w:szCs w:val="21"/>
                    </w:rPr>
                  </w:pPr>
                  <w:r>
                    <w:rPr>
                      <w:color w:val="000000"/>
                      <w:szCs w:val="21"/>
                    </w:rPr>
                    <w:t>18</w:t>
                  </w:r>
                </w:p>
              </w:tc>
              <w:tc>
                <w:tcPr>
                  <w:tcW w:w="436" w:type="pct"/>
                  <w:vAlign w:val="center"/>
                </w:tcPr>
                <w:p>
                  <w:pPr>
                    <w:tabs>
                      <w:tab w:val="left" w:pos="0"/>
                    </w:tabs>
                    <w:jc w:val="center"/>
                    <w:rPr>
                      <w:color w:val="000000"/>
                      <w:szCs w:val="21"/>
                    </w:rPr>
                  </w:pPr>
                  <w:r>
                    <w:rPr>
                      <w:color w:val="000000"/>
                      <w:szCs w:val="21"/>
                    </w:rPr>
                    <w:t>25</w:t>
                  </w:r>
                </w:p>
              </w:tc>
              <w:tc>
                <w:tcPr>
                  <w:tcW w:w="447" w:type="pct"/>
                  <w:vAlign w:val="center"/>
                </w:tcPr>
                <w:p>
                  <w:pPr>
                    <w:tabs>
                      <w:tab w:val="left" w:pos="0"/>
                    </w:tabs>
                    <w:jc w:val="center"/>
                    <w:rPr>
                      <w:color w:val="000000"/>
                      <w:szCs w:val="21"/>
                    </w:rPr>
                  </w:pPr>
                  <w:r>
                    <w:rPr>
                      <w:rFonts w:hint="eastAsia"/>
                      <w:color w:val="000000"/>
                      <w:szCs w:val="21"/>
                    </w:rPr>
                    <w:t>3000</w:t>
                  </w:r>
                </w:p>
              </w:tc>
              <w:tc>
                <w:tcPr>
                  <w:tcW w:w="484" w:type="pct"/>
                  <w:vAlign w:val="center"/>
                </w:tcPr>
                <w:p>
                  <w:pPr>
                    <w:tabs>
                      <w:tab w:val="left" w:pos="0"/>
                    </w:tabs>
                    <w:jc w:val="center"/>
                    <w:rPr>
                      <w:color w:val="000000"/>
                      <w:szCs w:val="21"/>
                    </w:rPr>
                  </w:pPr>
                  <w:r>
                    <w:rPr>
                      <w:color w:val="000000"/>
                      <w:szCs w:val="21"/>
                    </w:rPr>
                    <w:t>间歇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00" w:hRule="atLeast"/>
                <w:jc w:val="center"/>
              </w:trPr>
              <w:tc>
                <w:tcPr>
                  <w:tcW w:w="369" w:type="pct"/>
                  <w:vMerge w:val="continue"/>
                  <w:vAlign w:val="center"/>
                </w:tcPr>
                <w:p>
                  <w:pPr>
                    <w:tabs>
                      <w:tab w:val="left" w:pos="0"/>
                    </w:tabs>
                    <w:jc w:val="center"/>
                    <w:rPr>
                      <w:bCs/>
                      <w:color w:val="000000"/>
                      <w:spacing w:val="4"/>
                      <w:szCs w:val="22"/>
                      <w:lang w:bidi="ar"/>
                    </w:rPr>
                  </w:pPr>
                </w:p>
              </w:tc>
              <w:tc>
                <w:tcPr>
                  <w:tcW w:w="472" w:type="pct"/>
                  <w:vMerge w:val="continue"/>
                  <w:vAlign w:val="center"/>
                </w:tcPr>
                <w:p>
                  <w:pPr>
                    <w:tabs>
                      <w:tab w:val="left" w:pos="0"/>
                    </w:tabs>
                    <w:rPr>
                      <w:bCs/>
                      <w:color w:val="000000"/>
                      <w:spacing w:val="4"/>
                      <w:szCs w:val="22"/>
                    </w:rPr>
                  </w:pPr>
                </w:p>
              </w:tc>
              <w:tc>
                <w:tcPr>
                  <w:tcW w:w="584" w:type="pct"/>
                  <w:vAlign w:val="center"/>
                </w:tcPr>
                <w:p>
                  <w:pPr>
                    <w:tabs>
                      <w:tab w:val="left" w:pos="0"/>
                    </w:tabs>
                    <w:jc w:val="center"/>
                    <w:rPr>
                      <w:color w:val="000000"/>
                      <w:spacing w:val="4"/>
                      <w:kern w:val="0"/>
                      <w:szCs w:val="21"/>
                    </w:rPr>
                  </w:pPr>
                  <w:r>
                    <w:rPr>
                      <w:color w:val="000000"/>
                      <w:spacing w:val="4"/>
                      <w:kern w:val="0"/>
                      <w:szCs w:val="21"/>
                    </w:rPr>
                    <w:t>120.45</w:t>
                  </w:r>
                  <w:r>
                    <w:rPr>
                      <w:rFonts w:hint="eastAsia"/>
                      <w:color w:val="000000"/>
                      <w:spacing w:val="4"/>
                      <w:kern w:val="0"/>
                      <w:szCs w:val="21"/>
                    </w:rPr>
                    <w:t>29</w:t>
                  </w:r>
                </w:p>
              </w:tc>
              <w:tc>
                <w:tcPr>
                  <w:tcW w:w="528" w:type="pct"/>
                  <w:vAlign w:val="center"/>
                </w:tcPr>
                <w:p>
                  <w:pPr>
                    <w:tabs>
                      <w:tab w:val="left" w:pos="0"/>
                    </w:tabs>
                    <w:jc w:val="center"/>
                    <w:rPr>
                      <w:color w:val="000000"/>
                      <w:spacing w:val="4"/>
                      <w:kern w:val="0"/>
                      <w:szCs w:val="21"/>
                    </w:rPr>
                  </w:pPr>
                  <w:r>
                    <w:rPr>
                      <w:color w:val="000000"/>
                      <w:spacing w:val="4"/>
                      <w:kern w:val="0"/>
                      <w:szCs w:val="21"/>
                    </w:rPr>
                    <w:t>31.385</w:t>
                  </w:r>
                  <w:r>
                    <w:rPr>
                      <w:rFonts w:hint="eastAsia"/>
                      <w:color w:val="000000"/>
                      <w:spacing w:val="4"/>
                      <w:kern w:val="0"/>
                      <w:szCs w:val="21"/>
                    </w:rPr>
                    <w:t>8</w:t>
                  </w:r>
                </w:p>
              </w:tc>
              <w:tc>
                <w:tcPr>
                  <w:tcW w:w="481" w:type="pct"/>
                  <w:vAlign w:val="center"/>
                </w:tcPr>
                <w:p>
                  <w:pPr>
                    <w:tabs>
                      <w:tab w:val="left" w:pos="0"/>
                    </w:tabs>
                    <w:jc w:val="center"/>
                    <w:rPr>
                      <w:bCs/>
                      <w:color w:val="000000"/>
                      <w:spacing w:val="4"/>
                      <w:szCs w:val="22"/>
                      <w:lang w:bidi="ar"/>
                    </w:rPr>
                  </w:pPr>
                  <w:r>
                    <w:rPr>
                      <w:rFonts w:hint="eastAsia"/>
                      <w:bCs/>
                      <w:color w:val="000000"/>
                      <w:spacing w:val="4"/>
                      <w:szCs w:val="22"/>
                      <w:lang w:bidi="ar"/>
                    </w:rPr>
                    <w:t>12</w:t>
                  </w:r>
                </w:p>
              </w:tc>
              <w:tc>
                <w:tcPr>
                  <w:tcW w:w="372" w:type="pct"/>
                  <w:vAlign w:val="center"/>
                </w:tcPr>
                <w:p>
                  <w:pPr>
                    <w:tabs>
                      <w:tab w:val="left" w:pos="0"/>
                    </w:tabs>
                    <w:jc w:val="center"/>
                    <w:rPr>
                      <w:bCs/>
                      <w:color w:val="000000"/>
                      <w:spacing w:val="4"/>
                      <w:szCs w:val="22"/>
                      <w:lang w:bidi="ar"/>
                    </w:rPr>
                  </w:pPr>
                  <w:r>
                    <w:rPr>
                      <w:rFonts w:hint="eastAsia"/>
                      <w:bCs/>
                      <w:color w:val="000000"/>
                      <w:spacing w:val="4"/>
                      <w:szCs w:val="22"/>
                      <w:lang w:bidi="ar"/>
                    </w:rPr>
                    <w:t>3</w:t>
                  </w:r>
                  <w:r>
                    <w:rPr>
                      <w:bCs/>
                      <w:color w:val="000000"/>
                      <w:spacing w:val="4"/>
                      <w:szCs w:val="22"/>
                      <w:lang w:bidi="ar"/>
                    </w:rPr>
                    <w:t>.00</w:t>
                  </w:r>
                </w:p>
              </w:tc>
              <w:tc>
                <w:tcPr>
                  <w:tcW w:w="414" w:type="pct"/>
                  <w:vAlign w:val="center"/>
                </w:tcPr>
                <w:p>
                  <w:pPr>
                    <w:tabs>
                      <w:tab w:val="left" w:pos="0"/>
                    </w:tabs>
                    <w:jc w:val="center"/>
                    <w:rPr>
                      <w:color w:val="000000"/>
                      <w:szCs w:val="21"/>
                    </w:rPr>
                  </w:pPr>
                  <w:r>
                    <w:rPr>
                      <w:color w:val="000000"/>
                      <w:szCs w:val="21"/>
                    </w:rPr>
                    <w:t>0.6</w:t>
                  </w:r>
                </w:p>
              </w:tc>
              <w:tc>
                <w:tcPr>
                  <w:tcW w:w="407" w:type="pct"/>
                  <w:vAlign w:val="center"/>
                </w:tcPr>
                <w:p>
                  <w:pPr>
                    <w:tabs>
                      <w:tab w:val="left" w:pos="0"/>
                    </w:tabs>
                    <w:jc w:val="center"/>
                    <w:rPr>
                      <w:color w:val="000000"/>
                      <w:szCs w:val="21"/>
                    </w:rPr>
                  </w:pPr>
                  <w:r>
                    <w:rPr>
                      <w:color w:val="000000"/>
                      <w:szCs w:val="21"/>
                    </w:rPr>
                    <w:t>18</w:t>
                  </w:r>
                </w:p>
              </w:tc>
              <w:tc>
                <w:tcPr>
                  <w:tcW w:w="436" w:type="pct"/>
                  <w:vAlign w:val="center"/>
                </w:tcPr>
                <w:p>
                  <w:pPr>
                    <w:tabs>
                      <w:tab w:val="left" w:pos="0"/>
                    </w:tabs>
                    <w:jc w:val="center"/>
                    <w:rPr>
                      <w:color w:val="000000"/>
                      <w:szCs w:val="21"/>
                    </w:rPr>
                  </w:pPr>
                  <w:r>
                    <w:rPr>
                      <w:color w:val="000000"/>
                      <w:szCs w:val="21"/>
                    </w:rPr>
                    <w:t>25</w:t>
                  </w:r>
                </w:p>
              </w:tc>
              <w:tc>
                <w:tcPr>
                  <w:tcW w:w="447" w:type="pct"/>
                  <w:vAlign w:val="center"/>
                </w:tcPr>
                <w:p>
                  <w:pPr>
                    <w:tabs>
                      <w:tab w:val="left" w:pos="0"/>
                    </w:tabs>
                    <w:jc w:val="center"/>
                    <w:rPr>
                      <w:color w:val="000000"/>
                      <w:szCs w:val="21"/>
                    </w:rPr>
                  </w:pPr>
                  <w:r>
                    <w:rPr>
                      <w:rFonts w:hint="eastAsia"/>
                      <w:color w:val="000000"/>
                      <w:szCs w:val="21"/>
                    </w:rPr>
                    <w:t>72</w:t>
                  </w:r>
                  <w:r>
                    <w:rPr>
                      <w:color w:val="000000"/>
                      <w:szCs w:val="21"/>
                    </w:rPr>
                    <w:t>00</w:t>
                  </w:r>
                </w:p>
              </w:tc>
              <w:tc>
                <w:tcPr>
                  <w:tcW w:w="484" w:type="pct"/>
                  <w:vAlign w:val="center"/>
                </w:tcPr>
                <w:p>
                  <w:pPr>
                    <w:tabs>
                      <w:tab w:val="left" w:pos="0"/>
                    </w:tabs>
                    <w:jc w:val="center"/>
                    <w:rPr>
                      <w:color w:val="000000"/>
                      <w:szCs w:val="21"/>
                    </w:rPr>
                  </w:pPr>
                  <w:r>
                    <w:rPr>
                      <w:color w:val="000000"/>
                      <w:szCs w:val="21"/>
                    </w:rPr>
                    <w:t>间歇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85" w:hRule="atLeast"/>
                <w:jc w:val="center"/>
              </w:trPr>
              <w:tc>
                <w:tcPr>
                  <w:tcW w:w="369" w:type="pct"/>
                  <w:vAlign w:val="center"/>
                </w:tcPr>
                <w:p>
                  <w:pPr>
                    <w:tabs>
                      <w:tab w:val="left" w:pos="0"/>
                    </w:tabs>
                    <w:jc w:val="center"/>
                    <w:rPr>
                      <w:bCs/>
                      <w:color w:val="000000"/>
                      <w:spacing w:val="4"/>
                      <w:szCs w:val="22"/>
                      <w:lang w:bidi="ar"/>
                    </w:rPr>
                  </w:pPr>
                  <w:r>
                    <w:rPr>
                      <w:bCs/>
                      <w:color w:val="000000"/>
                      <w:spacing w:val="4"/>
                      <w:szCs w:val="22"/>
                      <w:lang w:bidi="ar"/>
                    </w:rPr>
                    <w:t>数据</w:t>
                  </w:r>
                </w:p>
              </w:tc>
              <w:tc>
                <w:tcPr>
                  <w:tcW w:w="472" w:type="pct"/>
                  <w:vAlign w:val="center"/>
                </w:tcPr>
                <w:p>
                  <w:pPr>
                    <w:tabs>
                      <w:tab w:val="left" w:pos="0"/>
                    </w:tabs>
                    <w:rPr>
                      <w:bCs/>
                      <w:color w:val="000000"/>
                      <w:spacing w:val="4"/>
                      <w:szCs w:val="22"/>
                    </w:rPr>
                  </w:pPr>
                  <w:r>
                    <w:rPr>
                      <w:rFonts w:hint="eastAsia"/>
                      <w:bCs/>
                      <w:color w:val="000000"/>
                      <w:spacing w:val="4"/>
                      <w:szCs w:val="22"/>
                    </w:rPr>
                    <w:t>DA002</w:t>
                  </w:r>
                </w:p>
              </w:tc>
              <w:tc>
                <w:tcPr>
                  <w:tcW w:w="584" w:type="pct"/>
                  <w:vAlign w:val="center"/>
                </w:tcPr>
                <w:p>
                  <w:pPr>
                    <w:tabs>
                      <w:tab w:val="left" w:pos="0"/>
                    </w:tabs>
                    <w:jc w:val="center"/>
                    <w:rPr>
                      <w:color w:val="000000"/>
                      <w:spacing w:val="4"/>
                      <w:kern w:val="0"/>
                      <w:szCs w:val="21"/>
                    </w:rPr>
                  </w:pPr>
                  <w:r>
                    <w:rPr>
                      <w:color w:val="000000"/>
                      <w:spacing w:val="4"/>
                      <w:kern w:val="0"/>
                      <w:szCs w:val="21"/>
                    </w:rPr>
                    <w:t>120.45</w:t>
                  </w:r>
                  <w:r>
                    <w:rPr>
                      <w:rFonts w:hint="eastAsia"/>
                      <w:color w:val="000000"/>
                      <w:spacing w:val="4"/>
                      <w:kern w:val="0"/>
                      <w:szCs w:val="21"/>
                    </w:rPr>
                    <w:t>29</w:t>
                  </w:r>
                </w:p>
              </w:tc>
              <w:tc>
                <w:tcPr>
                  <w:tcW w:w="528" w:type="pct"/>
                  <w:vAlign w:val="center"/>
                </w:tcPr>
                <w:p>
                  <w:pPr>
                    <w:tabs>
                      <w:tab w:val="left" w:pos="0"/>
                    </w:tabs>
                    <w:jc w:val="center"/>
                    <w:rPr>
                      <w:color w:val="000000"/>
                      <w:spacing w:val="4"/>
                      <w:kern w:val="0"/>
                      <w:szCs w:val="21"/>
                    </w:rPr>
                  </w:pPr>
                  <w:r>
                    <w:rPr>
                      <w:color w:val="000000"/>
                      <w:spacing w:val="4"/>
                      <w:kern w:val="0"/>
                      <w:szCs w:val="21"/>
                    </w:rPr>
                    <w:t>31.385</w:t>
                  </w:r>
                  <w:r>
                    <w:rPr>
                      <w:rFonts w:hint="eastAsia"/>
                      <w:color w:val="000000"/>
                      <w:spacing w:val="4"/>
                      <w:kern w:val="0"/>
                      <w:szCs w:val="21"/>
                    </w:rPr>
                    <w:t>8</w:t>
                  </w:r>
                </w:p>
              </w:tc>
              <w:tc>
                <w:tcPr>
                  <w:tcW w:w="481" w:type="pct"/>
                  <w:vAlign w:val="center"/>
                </w:tcPr>
                <w:p>
                  <w:pPr>
                    <w:tabs>
                      <w:tab w:val="left" w:pos="0"/>
                    </w:tabs>
                    <w:jc w:val="center"/>
                    <w:rPr>
                      <w:color w:val="000000"/>
                      <w:szCs w:val="21"/>
                    </w:rPr>
                  </w:pPr>
                  <w:r>
                    <w:rPr>
                      <w:rFonts w:hint="eastAsia"/>
                      <w:bCs/>
                      <w:color w:val="000000"/>
                      <w:spacing w:val="4"/>
                      <w:szCs w:val="22"/>
                      <w:lang w:bidi="ar"/>
                    </w:rPr>
                    <w:t>12</w:t>
                  </w:r>
                </w:p>
              </w:tc>
              <w:tc>
                <w:tcPr>
                  <w:tcW w:w="372" w:type="pct"/>
                  <w:vAlign w:val="center"/>
                </w:tcPr>
                <w:p>
                  <w:pPr>
                    <w:tabs>
                      <w:tab w:val="left" w:pos="0"/>
                    </w:tabs>
                    <w:jc w:val="center"/>
                    <w:rPr>
                      <w:color w:val="000000"/>
                      <w:szCs w:val="21"/>
                    </w:rPr>
                  </w:pPr>
                  <w:r>
                    <w:rPr>
                      <w:rFonts w:hint="eastAsia"/>
                      <w:bCs/>
                      <w:color w:val="000000"/>
                      <w:spacing w:val="4"/>
                      <w:szCs w:val="22"/>
                      <w:lang w:bidi="ar"/>
                    </w:rPr>
                    <w:t>3</w:t>
                  </w:r>
                  <w:r>
                    <w:rPr>
                      <w:bCs/>
                      <w:color w:val="000000"/>
                      <w:spacing w:val="4"/>
                      <w:szCs w:val="22"/>
                      <w:lang w:bidi="ar"/>
                    </w:rPr>
                    <w:t>.00</w:t>
                  </w:r>
                </w:p>
              </w:tc>
              <w:tc>
                <w:tcPr>
                  <w:tcW w:w="414" w:type="pct"/>
                  <w:vAlign w:val="center"/>
                </w:tcPr>
                <w:p>
                  <w:pPr>
                    <w:tabs>
                      <w:tab w:val="left" w:pos="0"/>
                    </w:tabs>
                    <w:jc w:val="center"/>
                    <w:rPr>
                      <w:color w:val="000000"/>
                      <w:szCs w:val="21"/>
                    </w:rPr>
                  </w:pPr>
                  <w:r>
                    <w:rPr>
                      <w:color w:val="000000"/>
                      <w:szCs w:val="21"/>
                    </w:rPr>
                    <w:t>0.6</w:t>
                  </w:r>
                </w:p>
              </w:tc>
              <w:tc>
                <w:tcPr>
                  <w:tcW w:w="407" w:type="pct"/>
                  <w:vAlign w:val="center"/>
                </w:tcPr>
                <w:p>
                  <w:pPr>
                    <w:tabs>
                      <w:tab w:val="left" w:pos="0"/>
                    </w:tabs>
                    <w:jc w:val="center"/>
                    <w:rPr>
                      <w:color w:val="000000"/>
                      <w:szCs w:val="21"/>
                    </w:rPr>
                  </w:pPr>
                  <w:r>
                    <w:rPr>
                      <w:color w:val="000000"/>
                      <w:szCs w:val="21"/>
                    </w:rPr>
                    <w:t>18</w:t>
                  </w:r>
                </w:p>
              </w:tc>
              <w:tc>
                <w:tcPr>
                  <w:tcW w:w="436" w:type="pct"/>
                  <w:vAlign w:val="center"/>
                </w:tcPr>
                <w:p>
                  <w:pPr>
                    <w:tabs>
                      <w:tab w:val="left" w:pos="0"/>
                    </w:tabs>
                    <w:jc w:val="center"/>
                    <w:rPr>
                      <w:color w:val="000000"/>
                      <w:szCs w:val="21"/>
                    </w:rPr>
                  </w:pPr>
                  <w:r>
                    <w:rPr>
                      <w:color w:val="000000"/>
                      <w:szCs w:val="21"/>
                    </w:rPr>
                    <w:t>25</w:t>
                  </w:r>
                </w:p>
              </w:tc>
              <w:tc>
                <w:tcPr>
                  <w:tcW w:w="447" w:type="pct"/>
                  <w:vAlign w:val="center"/>
                </w:tcPr>
                <w:p>
                  <w:pPr>
                    <w:tabs>
                      <w:tab w:val="left" w:pos="0"/>
                    </w:tabs>
                    <w:jc w:val="center"/>
                    <w:rPr>
                      <w:color w:val="000000"/>
                      <w:szCs w:val="21"/>
                    </w:rPr>
                  </w:pPr>
                  <w:r>
                    <w:rPr>
                      <w:rFonts w:hint="eastAsia"/>
                      <w:color w:val="000000"/>
                      <w:szCs w:val="21"/>
                    </w:rPr>
                    <w:t>72</w:t>
                  </w:r>
                  <w:r>
                    <w:rPr>
                      <w:color w:val="000000"/>
                      <w:szCs w:val="21"/>
                    </w:rPr>
                    <w:t>00</w:t>
                  </w:r>
                </w:p>
              </w:tc>
              <w:tc>
                <w:tcPr>
                  <w:tcW w:w="484" w:type="pct"/>
                  <w:vAlign w:val="center"/>
                </w:tcPr>
                <w:p>
                  <w:pPr>
                    <w:tabs>
                      <w:tab w:val="left" w:pos="0"/>
                    </w:tabs>
                    <w:jc w:val="center"/>
                    <w:rPr>
                      <w:color w:val="000000"/>
                      <w:szCs w:val="21"/>
                    </w:rPr>
                  </w:pPr>
                  <w:r>
                    <w:rPr>
                      <w:color w:val="000000"/>
                      <w:szCs w:val="21"/>
                    </w:rPr>
                    <w:t>间歇</w:t>
                  </w:r>
                </w:p>
              </w:tc>
            </w:tr>
          </w:tbl>
          <w:p>
            <w:pPr>
              <w:tabs>
                <w:tab w:val="left" w:pos="0"/>
              </w:tabs>
              <w:spacing w:before="60"/>
              <w:jc w:val="center"/>
              <w:rPr>
                <w:b/>
                <w:color w:val="000000"/>
                <w:sz w:val="24"/>
              </w:rPr>
            </w:pPr>
            <w:r>
              <w:rPr>
                <w:b/>
                <w:color w:val="000000"/>
                <w:sz w:val="24"/>
              </w:rPr>
              <w:t>表4-</w:t>
            </w:r>
            <w:r>
              <w:rPr>
                <w:rFonts w:hint="eastAsia"/>
                <w:b/>
                <w:color w:val="000000"/>
                <w:sz w:val="24"/>
              </w:rPr>
              <w:t>4</w:t>
            </w:r>
            <w:r>
              <w:rPr>
                <w:b/>
                <w:color w:val="000000"/>
                <w:sz w:val="24"/>
              </w:rPr>
              <w:t xml:space="preserve">  </w:t>
            </w:r>
            <w:r>
              <w:rPr>
                <w:rFonts w:hint="eastAsia"/>
                <w:b/>
                <w:color w:val="000000"/>
                <w:sz w:val="24"/>
              </w:rPr>
              <w:t>无</w:t>
            </w:r>
            <w:r>
              <w:rPr>
                <w:b/>
                <w:color w:val="000000"/>
                <w:sz w:val="24"/>
              </w:rPr>
              <w:t>组织废气排放口情况</w:t>
            </w:r>
          </w:p>
          <w:tbl>
            <w:tblPr>
              <w:tblStyle w:val="2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56"/>
              <w:gridCol w:w="965"/>
              <w:gridCol w:w="1045"/>
              <w:gridCol w:w="1045"/>
              <w:gridCol w:w="983"/>
              <w:gridCol w:w="1045"/>
              <w:gridCol w:w="1047"/>
              <w:gridCol w:w="1038"/>
              <w:gridCol w:w="95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26" w:type="pct"/>
                  <w:vAlign w:val="center"/>
                </w:tcPr>
                <w:p>
                  <w:pPr>
                    <w:autoSpaceDE w:val="0"/>
                    <w:autoSpaceDN w:val="0"/>
                    <w:spacing w:before="134"/>
                    <w:ind w:left="119" w:right="84"/>
                    <w:jc w:val="center"/>
                    <w:rPr>
                      <w:rFonts w:ascii="宋体" w:hAnsi="宋体"/>
                      <w:b/>
                      <w:bCs/>
                      <w:color w:val="000000"/>
                      <w:kern w:val="0"/>
                      <w:szCs w:val="21"/>
                    </w:rPr>
                  </w:pPr>
                  <w:r>
                    <w:rPr>
                      <w:rFonts w:hint="eastAsia" w:ascii="宋体" w:hAnsi="宋体"/>
                      <w:b/>
                      <w:bCs/>
                      <w:color w:val="000000"/>
                      <w:kern w:val="0"/>
                      <w:szCs w:val="21"/>
                    </w:rPr>
                    <w:t>污染物</w:t>
                  </w:r>
                </w:p>
              </w:tc>
              <w:tc>
                <w:tcPr>
                  <w:tcW w:w="531" w:type="pct"/>
                  <w:vAlign w:val="center"/>
                </w:tcPr>
                <w:p>
                  <w:pPr>
                    <w:autoSpaceDE w:val="0"/>
                    <w:autoSpaceDN w:val="0"/>
                    <w:spacing w:before="134"/>
                    <w:ind w:left="134"/>
                    <w:jc w:val="left"/>
                    <w:rPr>
                      <w:rFonts w:ascii="宋体" w:hAnsi="宋体"/>
                      <w:b/>
                      <w:bCs/>
                      <w:color w:val="000000"/>
                      <w:kern w:val="0"/>
                      <w:szCs w:val="21"/>
                    </w:rPr>
                  </w:pPr>
                  <w:r>
                    <w:rPr>
                      <w:rFonts w:hint="eastAsia" w:ascii="宋体" w:hAnsi="宋体"/>
                      <w:b/>
                      <w:bCs/>
                      <w:color w:val="000000"/>
                      <w:kern w:val="0"/>
                      <w:szCs w:val="21"/>
                    </w:rPr>
                    <w:t>污染源</w:t>
                  </w:r>
                </w:p>
              </w:tc>
              <w:tc>
                <w:tcPr>
                  <w:tcW w:w="575" w:type="pct"/>
                  <w:vAlign w:val="center"/>
                </w:tcPr>
                <w:p>
                  <w:pPr>
                    <w:autoSpaceDE w:val="0"/>
                    <w:autoSpaceDN w:val="0"/>
                    <w:spacing w:before="14"/>
                    <w:ind w:left="97" w:right="101"/>
                    <w:jc w:val="center"/>
                    <w:rPr>
                      <w:rFonts w:ascii="宋体" w:hAnsi="宋体"/>
                      <w:b/>
                      <w:bCs/>
                      <w:color w:val="000000"/>
                      <w:kern w:val="0"/>
                      <w:szCs w:val="21"/>
                    </w:rPr>
                  </w:pPr>
                  <w:r>
                    <w:rPr>
                      <w:rFonts w:hint="eastAsia" w:ascii="宋体" w:hAnsi="宋体"/>
                      <w:b/>
                      <w:bCs/>
                      <w:color w:val="000000"/>
                      <w:kern w:val="0"/>
                      <w:szCs w:val="21"/>
                    </w:rPr>
                    <w:t>产生量</w:t>
                  </w:r>
                </w:p>
                <w:p>
                  <w:pPr>
                    <w:autoSpaceDE w:val="0"/>
                    <w:autoSpaceDN w:val="0"/>
                    <w:spacing w:before="4" w:line="238" w:lineRule="exact"/>
                    <w:ind w:left="97" w:right="72"/>
                    <w:jc w:val="center"/>
                    <w:rPr>
                      <w:rFonts w:hAnsi="宋体" w:cs="宋体"/>
                      <w:b/>
                      <w:bCs/>
                      <w:color w:val="000000"/>
                      <w:kern w:val="0"/>
                      <w:szCs w:val="21"/>
                    </w:rPr>
                  </w:pPr>
                  <w:r>
                    <w:rPr>
                      <w:rFonts w:hAnsi="宋体" w:cs="宋体"/>
                      <w:b/>
                      <w:bCs/>
                      <w:color w:val="000000"/>
                      <w:kern w:val="0"/>
                      <w:szCs w:val="21"/>
                    </w:rPr>
                    <w:t>t/a</w:t>
                  </w:r>
                </w:p>
              </w:tc>
              <w:tc>
                <w:tcPr>
                  <w:tcW w:w="575" w:type="pct"/>
                  <w:vAlign w:val="center"/>
                </w:tcPr>
                <w:p>
                  <w:pPr>
                    <w:autoSpaceDE w:val="0"/>
                    <w:autoSpaceDN w:val="0"/>
                    <w:ind w:left="134"/>
                    <w:jc w:val="left"/>
                    <w:rPr>
                      <w:rFonts w:ascii="宋体" w:hAnsi="宋体"/>
                      <w:b/>
                      <w:bCs/>
                      <w:color w:val="000000"/>
                      <w:kern w:val="0"/>
                      <w:szCs w:val="21"/>
                    </w:rPr>
                  </w:pPr>
                  <w:r>
                    <w:rPr>
                      <w:rFonts w:hint="eastAsia" w:ascii="宋体" w:hAnsi="宋体"/>
                      <w:b/>
                      <w:bCs/>
                      <w:color w:val="000000"/>
                      <w:kern w:val="0"/>
                      <w:szCs w:val="21"/>
                    </w:rPr>
                    <w:t>产生速</w:t>
                  </w:r>
                </w:p>
                <w:p>
                  <w:pPr>
                    <w:autoSpaceDE w:val="0"/>
                    <w:autoSpaceDN w:val="0"/>
                    <w:spacing w:before="4" w:line="252" w:lineRule="exact"/>
                    <w:ind w:left="120"/>
                    <w:jc w:val="left"/>
                    <w:rPr>
                      <w:rFonts w:hAnsi="宋体" w:cs="宋体"/>
                      <w:b/>
                      <w:bCs/>
                      <w:color w:val="000000"/>
                      <w:kern w:val="0"/>
                      <w:szCs w:val="21"/>
                    </w:rPr>
                  </w:pPr>
                  <w:r>
                    <w:rPr>
                      <w:rFonts w:hint="eastAsia" w:ascii="宋体" w:hAnsi="宋体"/>
                      <w:b/>
                      <w:bCs/>
                      <w:color w:val="000000"/>
                      <w:spacing w:val="-29"/>
                      <w:kern w:val="0"/>
                      <w:szCs w:val="21"/>
                    </w:rPr>
                    <w:t xml:space="preserve">率 </w:t>
                  </w:r>
                  <w:r>
                    <w:rPr>
                      <w:rFonts w:hAnsi="宋体" w:cs="宋体"/>
                      <w:b/>
                      <w:bCs/>
                      <w:color w:val="000000"/>
                      <w:kern w:val="0"/>
                      <w:szCs w:val="21"/>
                    </w:rPr>
                    <w:t>kg/h</w:t>
                  </w:r>
                </w:p>
              </w:tc>
              <w:tc>
                <w:tcPr>
                  <w:tcW w:w="541" w:type="pct"/>
                  <w:vAlign w:val="center"/>
                </w:tcPr>
                <w:p>
                  <w:pPr>
                    <w:autoSpaceDE w:val="0"/>
                    <w:autoSpaceDN w:val="0"/>
                    <w:spacing w:before="14"/>
                    <w:ind w:left="97" w:right="100"/>
                    <w:jc w:val="center"/>
                    <w:rPr>
                      <w:rFonts w:ascii="宋体" w:hAnsi="宋体"/>
                      <w:b/>
                      <w:bCs/>
                      <w:color w:val="000000"/>
                      <w:kern w:val="0"/>
                      <w:szCs w:val="21"/>
                    </w:rPr>
                  </w:pPr>
                  <w:r>
                    <w:rPr>
                      <w:rFonts w:hint="eastAsia" w:ascii="宋体" w:hAnsi="宋体"/>
                      <w:b/>
                      <w:bCs/>
                      <w:color w:val="000000"/>
                      <w:kern w:val="0"/>
                      <w:szCs w:val="21"/>
                    </w:rPr>
                    <w:t>削减量</w:t>
                  </w:r>
                </w:p>
                <w:p>
                  <w:pPr>
                    <w:autoSpaceDE w:val="0"/>
                    <w:autoSpaceDN w:val="0"/>
                    <w:spacing w:before="4" w:line="238" w:lineRule="exact"/>
                    <w:ind w:left="97" w:right="71"/>
                    <w:jc w:val="center"/>
                    <w:rPr>
                      <w:rFonts w:hAnsi="宋体" w:cs="宋体"/>
                      <w:b/>
                      <w:bCs/>
                      <w:color w:val="000000"/>
                      <w:kern w:val="0"/>
                      <w:szCs w:val="21"/>
                    </w:rPr>
                  </w:pPr>
                  <w:r>
                    <w:rPr>
                      <w:rFonts w:hAnsi="宋体" w:cs="宋体"/>
                      <w:b/>
                      <w:bCs/>
                      <w:color w:val="000000"/>
                      <w:kern w:val="0"/>
                      <w:szCs w:val="21"/>
                    </w:rPr>
                    <w:t>t/a</w:t>
                  </w:r>
                </w:p>
              </w:tc>
              <w:tc>
                <w:tcPr>
                  <w:tcW w:w="575" w:type="pct"/>
                  <w:vAlign w:val="center"/>
                </w:tcPr>
                <w:p>
                  <w:pPr>
                    <w:autoSpaceDE w:val="0"/>
                    <w:autoSpaceDN w:val="0"/>
                    <w:spacing w:before="14"/>
                    <w:ind w:left="96" w:right="101"/>
                    <w:jc w:val="center"/>
                    <w:rPr>
                      <w:rFonts w:ascii="宋体" w:hAnsi="宋体"/>
                      <w:b/>
                      <w:bCs/>
                      <w:color w:val="000000"/>
                      <w:kern w:val="0"/>
                      <w:szCs w:val="21"/>
                    </w:rPr>
                  </w:pPr>
                  <w:r>
                    <w:rPr>
                      <w:rFonts w:hint="eastAsia" w:ascii="宋体" w:hAnsi="宋体"/>
                      <w:b/>
                      <w:bCs/>
                      <w:color w:val="000000"/>
                      <w:kern w:val="0"/>
                      <w:szCs w:val="21"/>
                    </w:rPr>
                    <w:t>排放量</w:t>
                  </w:r>
                </w:p>
                <w:p>
                  <w:pPr>
                    <w:autoSpaceDE w:val="0"/>
                    <w:autoSpaceDN w:val="0"/>
                    <w:spacing w:before="4" w:line="238" w:lineRule="exact"/>
                    <w:ind w:left="97" w:right="70"/>
                    <w:jc w:val="center"/>
                    <w:rPr>
                      <w:rFonts w:hAnsi="宋体" w:cs="宋体"/>
                      <w:b/>
                      <w:bCs/>
                      <w:color w:val="000000"/>
                      <w:kern w:val="0"/>
                      <w:szCs w:val="21"/>
                    </w:rPr>
                  </w:pPr>
                  <w:r>
                    <w:rPr>
                      <w:rFonts w:hAnsi="宋体" w:cs="宋体"/>
                      <w:b/>
                      <w:bCs/>
                      <w:color w:val="000000"/>
                      <w:kern w:val="0"/>
                      <w:szCs w:val="21"/>
                    </w:rPr>
                    <w:t>t/a</w:t>
                  </w:r>
                </w:p>
              </w:tc>
              <w:tc>
                <w:tcPr>
                  <w:tcW w:w="576" w:type="pct"/>
                  <w:vAlign w:val="center"/>
                </w:tcPr>
                <w:p>
                  <w:pPr>
                    <w:autoSpaceDE w:val="0"/>
                    <w:autoSpaceDN w:val="0"/>
                    <w:ind w:left="135"/>
                    <w:jc w:val="left"/>
                    <w:rPr>
                      <w:rFonts w:ascii="宋体" w:hAnsi="宋体"/>
                      <w:b/>
                      <w:bCs/>
                      <w:color w:val="000000"/>
                      <w:kern w:val="0"/>
                      <w:szCs w:val="21"/>
                    </w:rPr>
                  </w:pPr>
                  <w:r>
                    <w:rPr>
                      <w:rFonts w:hint="eastAsia" w:ascii="宋体" w:hAnsi="宋体"/>
                      <w:b/>
                      <w:bCs/>
                      <w:color w:val="000000"/>
                      <w:kern w:val="0"/>
                      <w:szCs w:val="21"/>
                    </w:rPr>
                    <w:t>排放速</w:t>
                  </w:r>
                </w:p>
                <w:p>
                  <w:pPr>
                    <w:autoSpaceDE w:val="0"/>
                    <w:autoSpaceDN w:val="0"/>
                    <w:spacing w:before="4" w:line="252" w:lineRule="exact"/>
                    <w:ind w:left="120"/>
                    <w:jc w:val="left"/>
                    <w:rPr>
                      <w:rFonts w:hAnsi="宋体" w:cs="宋体"/>
                      <w:b/>
                      <w:bCs/>
                      <w:color w:val="000000"/>
                      <w:kern w:val="0"/>
                      <w:szCs w:val="21"/>
                    </w:rPr>
                  </w:pPr>
                  <w:r>
                    <w:rPr>
                      <w:rFonts w:hint="eastAsia" w:ascii="宋体" w:hAnsi="宋体"/>
                      <w:b/>
                      <w:bCs/>
                      <w:color w:val="000000"/>
                      <w:spacing w:val="-29"/>
                      <w:kern w:val="0"/>
                      <w:szCs w:val="21"/>
                    </w:rPr>
                    <w:t xml:space="preserve">率 </w:t>
                  </w:r>
                  <w:r>
                    <w:rPr>
                      <w:rFonts w:hAnsi="宋体" w:cs="宋体"/>
                      <w:b/>
                      <w:bCs/>
                      <w:color w:val="000000"/>
                      <w:kern w:val="0"/>
                      <w:szCs w:val="21"/>
                    </w:rPr>
                    <w:t>kg/h</w:t>
                  </w:r>
                </w:p>
              </w:tc>
              <w:tc>
                <w:tcPr>
                  <w:tcW w:w="571" w:type="pct"/>
                  <w:vAlign w:val="center"/>
                </w:tcPr>
                <w:p>
                  <w:pPr>
                    <w:autoSpaceDE w:val="0"/>
                    <w:autoSpaceDN w:val="0"/>
                    <w:ind w:left="135"/>
                    <w:jc w:val="left"/>
                    <w:rPr>
                      <w:rFonts w:ascii="宋体" w:hAnsi="宋体"/>
                      <w:b/>
                      <w:bCs/>
                      <w:color w:val="000000"/>
                      <w:kern w:val="0"/>
                      <w:szCs w:val="21"/>
                    </w:rPr>
                  </w:pPr>
                  <w:r>
                    <w:rPr>
                      <w:rFonts w:hint="eastAsia" w:ascii="宋体" w:hAnsi="宋体"/>
                      <w:b/>
                      <w:bCs/>
                      <w:color w:val="000000"/>
                      <w:kern w:val="0"/>
                      <w:szCs w:val="21"/>
                    </w:rPr>
                    <w:t>面源面</w:t>
                  </w:r>
                </w:p>
                <w:p>
                  <w:pPr>
                    <w:autoSpaceDE w:val="0"/>
                    <w:autoSpaceDN w:val="0"/>
                    <w:spacing w:before="4" w:line="252" w:lineRule="exact"/>
                    <w:ind w:left="197"/>
                    <w:jc w:val="left"/>
                    <w:rPr>
                      <w:rFonts w:hAnsi="宋体" w:cs="宋体"/>
                      <w:b/>
                      <w:bCs/>
                      <w:color w:val="000000"/>
                      <w:kern w:val="0"/>
                      <w:szCs w:val="21"/>
                    </w:rPr>
                  </w:pPr>
                  <w:r>
                    <w:rPr>
                      <w:rFonts w:hint="eastAsia" w:ascii="宋体" w:hAnsi="宋体"/>
                      <w:b/>
                      <w:bCs/>
                      <w:color w:val="000000"/>
                      <w:kern w:val="0"/>
                      <w:szCs w:val="21"/>
                    </w:rPr>
                    <w:t xml:space="preserve">积 </w:t>
                  </w:r>
                  <w:r>
                    <w:rPr>
                      <w:rFonts w:hAnsi="宋体" w:cs="宋体"/>
                      <w:b/>
                      <w:bCs/>
                      <w:color w:val="000000"/>
                      <w:kern w:val="0"/>
                      <w:szCs w:val="21"/>
                    </w:rPr>
                    <w:t>m</w:t>
                  </w:r>
                  <w:r>
                    <w:rPr>
                      <w:rFonts w:hAnsi="宋体" w:cs="宋体"/>
                      <w:b/>
                      <w:bCs/>
                      <w:color w:val="000000"/>
                      <w:kern w:val="0"/>
                      <w:position w:val="7"/>
                      <w:szCs w:val="21"/>
                    </w:rPr>
                    <w:t>2</w:t>
                  </w:r>
                </w:p>
              </w:tc>
              <w:tc>
                <w:tcPr>
                  <w:tcW w:w="525" w:type="pct"/>
                  <w:vAlign w:val="center"/>
                </w:tcPr>
                <w:p>
                  <w:pPr>
                    <w:autoSpaceDE w:val="0"/>
                    <w:autoSpaceDN w:val="0"/>
                    <w:ind w:left="135"/>
                    <w:jc w:val="left"/>
                    <w:rPr>
                      <w:rFonts w:ascii="宋体" w:hAnsi="宋体"/>
                      <w:b/>
                      <w:bCs/>
                      <w:color w:val="000000"/>
                      <w:kern w:val="0"/>
                      <w:szCs w:val="21"/>
                    </w:rPr>
                  </w:pPr>
                  <w:r>
                    <w:rPr>
                      <w:rFonts w:hint="eastAsia" w:ascii="宋体" w:hAnsi="宋体"/>
                      <w:b/>
                      <w:bCs/>
                      <w:color w:val="000000"/>
                      <w:kern w:val="0"/>
                      <w:szCs w:val="21"/>
                    </w:rPr>
                    <w:t>面源高</w:t>
                  </w:r>
                </w:p>
                <w:p>
                  <w:pPr>
                    <w:autoSpaceDE w:val="0"/>
                    <w:autoSpaceDN w:val="0"/>
                    <w:spacing w:before="4" w:line="252" w:lineRule="exact"/>
                    <w:ind w:left="231"/>
                    <w:jc w:val="left"/>
                    <w:rPr>
                      <w:rFonts w:hAnsi="宋体" w:cs="宋体"/>
                      <w:b/>
                      <w:bCs/>
                      <w:color w:val="000000"/>
                      <w:kern w:val="0"/>
                      <w:szCs w:val="21"/>
                    </w:rPr>
                  </w:pPr>
                  <w:r>
                    <w:rPr>
                      <w:rFonts w:hint="eastAsia" w:ascii="宋体" w:hAnsi="宋体"/>
                      <w:b/>
                      <w:bCs/>
                      <w:color w:val="000000"/>
                      <w:kern w:val="0"/>
                      <w:szCs w:val="21"/>
                    </w:rPr>
                    <w:t xml:space="preserve">度 </w:t>
                  </w:r>
                  <w:r>
                    <w:rPr>
                      <w:rFonts w:hAnsi="宋体" w:cs="宋体"/>
                      <w:b/>
                      <w:bCs/>
                      <w:color w:val="000000"/>
                      <w:kern w:val="0"/>
                      <w:szCs w:val="21"/>
                    </w:rPr>
                    <w:t>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26" w:type="pc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非甲烷</w:t>
                  </w:r>
                </w:p>
                <w:p>
                  <w:pPr>
                    <w:widowControl/>
                    <w:jc w:val="center"/>
                    <w:rPr>
                      <w:rFonts w:ascii="宋体" w:hAnsi="宋体" w:cs="宋体"/>
                      <w:color w:val="000000"/>
                      <w:kern w:val="0"/>
                      <w:szCs w:val="21"/>
                    </w:rPr>
                  </w:pPr>
                  <w:r>
                    <w:rPr>
                      <w:rFonts w:hint="eastAsia" w:ascii="宋体" w:hAnsi="宋体" w:cs="宋体"/>
                      <w:color w:val="000000"/>
                      <w:kern w:val="0"/>
                      <w:szCs w:val="21"/>
                    </w:rPr>
                    <w:t>总烃</w:t>
                  </w:r>
                </w:p>
              </w:tc>
              <w:tc>
                <w:tcPr>
                  <w:tcW w:w="531" w:type="pc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车间</w:t>
                  </w:r>
                </w:p>
              </w:tc>
              <w:tc>
                <w:tcPr>
                  <w:tcW w:w="575" w:type="pct"/>
                  <w:vAlign w:val="center"/>
                </w:tcPr>
                <w:p>
                  <w:pPr>
                    <w:jc w:val="center"/>
                    <w:rPr>
                      <w:rFonts w:hint="default" w:eastAsia="宋体"/>
                      <w:color w:val="000000"/>
                      <w:szCs w:val="21"/>
                      <w:lang w:val="en-US" w:eastAsia="zh-CN"/>
                    </w:rPr>
                  </w:pPr>
                  <w:r>
                    <w:rPr>
                      <w:rFonts w:hint="eastAsia"/>
                      <w:color w:val="000000"/>
                      <w:szCs w:val="21"/>
                      <w:lang w:val="en-US" w:eastAsia="zh-CN"/>
                    </w:rPr>
                    <w:t>0.13021</w:t>
                  </w:r>
                </w:p>
              </w:tc>
              <w:tc>
                <w:tcPr>
                  <w:tcW w:w="575" w:type="pct"/>
                  <w:vAlign w:val="center"/>
                </w:tcPr>
                <w:p>
                  <w:pPr>
                    <w:jc w:val="center"/>
                    <w:rPr>
                      <w:rFonts w:hint="default" w:eastAsia="宋体"/>
                      <w:color w:val="000000"/>
                      <w:szCs w:val="21"/>
                      <w:lang w:val="en-US" w:eastAsia="zh-CN"/>
                    </w:rPr>
                  </w:pPr>
                  <w:r>
                    <w:rPr>
                      <w:color w:val="000000"/>
                      <w:szCs w:val="21"/>
                    </w:rPr>
                    <w:t>0.0</w:t>
                  </w:r>
                  <w:r>
                    <w:rPr>
                      <w:rFonts w:hint="eastAsia"/>
                      <w:color w:val="000000"/>
                      <w:szCs w:val="21"/>
                      <w:lang w:val="en-US" w:eastAsia="zh-CN"/>
                    </w:rPr>
                    <w:t>181</w:t>
                  </w:r>
                </w:p>
              </w:tc>
              <w:tc>
                <w:tcPr>
                  <w:tcW w:w="541" w:type="pct"/>
                  <w:vAlign w:val="center"/>
                </w:tcPr>
                <w:p>
                  <w:pPr>
                    <w:jc w:val="center"/>
                    <w:rPr>
                      <w:color w:val="000000"/>
                      <w:szCs w:val="21"/>
                    </w:rPr>
                  </w:pPr>
                  <w:r>
                    <w:rPr>
                      <w:color w:val="000000"/>
                      <w:szCs w:val="21"/>
                    </w:rPr>
                    <w:t>0</w:t>
                  </w:r>
                </w:p>
              </w:tc>
              <w:tc>
                <w:tcPr>
                  <w:tcW w:w="1045" w:type="dxa"/>
                  <w:vAlign w:val="center"/>
                </w:tcPr>
                <w:p>
                  <w:pPr>
                    <w:jc w:val="center"/>
                    <w:rPr>
                      <w:color w:val="000000"/>
                      <w:szCs w:val="21"/>
                    </w:rPr>
                  </w:pPr>
                  <w:r>
                    <w:rPr>
                      <w:rFonts w:hint="eastAsia"/>
                      <w:color w:val="000000"/>
                      <w:szCs w:val="21"/>
                      <w:lang w:val="en-US" w:eastAsia="zh-CN"/>
                    </w:rPr>
                    <w:t>0.13021</w:t>
                  </w:r>
                </w:p>
              </w:tc>
              <w:tc>
                <w:tcPr>
                  <w:tcW w:w="1047" w:type="dxa"/>
                  <w:vAlign w:val="center"/>
                </w:tcPr>
                <w:p>
                  <w:pPr>
                    <w:jc w:val="center"/>
                    <w:rPr>
                      <w:color w:val="000000"/>
                      <w:szCs w:val="21"/>
                    </w:rPr>
                  </w:pPr>
                  <w:r>
                    <w:rPr>
                      <w:color w:val="000000"/>
                      <w:szCs w:val="21"/>
                    </w:rPr>
                    <w:t>0.0</w:t>
                  </w:r>
                  <w:r>
                    <w:rPr>
                      <w:rFonts w:hint="eastAsia"/>
                      <w:color w:val="000000"/>
                      <w:szCs w:val="21"/>
                      <w:lang w:val="en-US" w:eastAsia="zh-CN"/>
                    </w:rPr>
                    <w:t>181</w:t>
                  </w:r>
                </w:p>
              </w:tc>
              <w:tc>
                <w:tcPr>
                  <w:tcW w:w="571" w:type="pct"/>
                  <w:vAlign w:val="center"/>
                </w:tcPr>
                <w:p>
                  <w:pPr>
                    <w:jc w:val="center"/>
                    <w:rPr>
                      <w:color w:val="000000"/>
                      <w:szCs w:val="21"/>
                    </w:rPr>
                  </w:pPr>
                  <w:r>
                    <w:rPr>
                      <w:rFonts w:hint="eastAsia"/>
                      <w:color w:val="000000"/>
                      <w:szCs w:val="21"/>
                    </w:rPr>
                    <w:t>4300</w:t>
                  </w:r>
                </w:p>
              </w:tc>
              <w:tc>
                <w:tcPr>
                  <w:tcW w:w="525" w:type="pct"/>
                  <w:vAlign w:val="center"/>
                </w:tcPr>
                <w:p>
                  <w:pPr>
                    <w:jc w:val="center"/>
                    <w:rPr>
                      <w:color w:val="000000"/>
                      <w:szCs w:val="21"/>
                    </w:rPr>
                  </w:pPr>
                  <w:r>
                    <w:rPr>
                      <w:rFonts w:hint="eastAsia"/>
                      <w:color w:val="000000"/>
                      <w:szCs w:val="21"/>
                    </w:rPr>
                    <w:t>9</w:t>
                  </w:r>
                </w:p>
              </w:tc>
            </w:tr>
          </w:tbl>
          <w:p>
            <w:pPr>
              <w:tabs>
                <w:tab w:val="left" w:pos="0"/>
              </w:tabs>
              <w:spacing w:before="60"/>
              <w:jc w:val="center"/>
              <w:rPr>
                <w:color w:val="000000"/>
                <w:sz w:val="24"/>
              </w:rPr>
            </w:pPr>
            <w:r>
              <w:rPr>
                <w:b/>
                <w:color w:val="000000"/>
                <w:sz w:val="24"/>
              </w:rPr>
              <w:t>表4-</w:t>
            </w:r>
            <w:r>
              <w:rPr>
                <w:rFonts w:hint="eastAsia"/>
                <w:b/>
                <w:color w:val="000000"/>
                <w:sz w:val="24"/>
              </w:rPr>
              <w:t>4</w:t>
            </w:r>
            <w:r>
              <w:rPr>
                <w:b/>
                <w:color w:val="000000"/>
                <w:sz w:val="24"/>
              </w:rPr>
              <w:t xml:space="preserve">  </w:t>
            </w:r>
            <w:r>
              <w:rPr>
                <w:rFonts w:hint="eastAsia"/>
                <w:b/>
                <w:color w:val="000000"/>
                <w:sz w:val="24"/>
              </w:rPr>
              <w:t>无</w:t>
            </w:r>
            <w:r>
              <w:rPr>
                <w:b/>
                <w:color w:val="000000"/>
                <w:sz w:val="24"/>
              </w:rPr>
              <w:t>组织废气</w:t>
            </w:r>
            <w:r>
              <w:rPr>
                <w:rFonts w:hint="eastAsia"/>
                <w:b/>
                <w:color w:val="000000"/>
                <w:sz w:val="24"/>
              </w:rPr>
              <w:t>面源参数一览表</w:t>
            </w:r>
          </w:p>
          <w:tbl>
            <w:tblPr>
              <w:tblStyle w:val="20"/>
              <w:tblW w:w="49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80"/>
              <w:gridCol w:w="1297"/>
              <w:gridCol w:w="1128"/>
              <w:gridCol w:w="569"/>
              <w:gridCol w:w="585"/>
              <w:gridCol w:w="712"/>
              <w:gridCol w:w="710"/>
              <w:gridCol w:w="899"/>
              <w:gridCol w:w="770"/>
              <w:gridCol w:w="498"/>
              <w:gridCol w:w="12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75"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面源</w:t>
                  </w:r>
                </w:p>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名称</w:t>
                  </w:r>
                </w:p>
              </w:tc>
              <w:tc>
                <w:tcPr>
                  <w:tcW w:w="1337" w:type="pct"/>
                  <w:gridSpan w:val="2"/>
                  <w:vAlign w:val="center"/>
                </w:tcPr>
                <w:p>
                  <w:pPr>
                    <w:jc w:val="center"/>
                    <w:rPr>
                      <w:rFonts w:cs="宋体"/>
                      <w:color w:val="000000"/>
                      <w:spacing w:val="4"/>
                      <w:kern w:val="0"/>
                      <w:szCs w:val="21"/>
                    </w:rPr>
                  </w:pPr>
                  <w:r>
                    <w:rPr>
                      <w:rFonts w:hint="eastAsia" w:cs="宋体"/>
                      <w:color w:val="000000"/>
                      <w:spacing w:val="4"/>
                      <w:kern w:val="0"/>
                      <w:szCs w:val="21"/>
                    </w:rPr>
                    <w:t>面源坐标</w:t>
                  </w:r>
                </w:p>
              </w:tc>
              <w:tc>
                <w:tcPr>
                  <w:tcW w:w="314"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海拔高度/</w:t>
                  </w:r>
                  <w:r>
                    <w:rPr>
                      <w:rFonts w:cs="宋体"/>
                      <w:color w:val="000000"/>
                      <w:spacing w:val="4"/>
                      <w:kern w:val="0"/>
                      <w:szCs w:val="21"/>
                    </w:rPr>
                    <w:t>m</w:t>
                  </w:r>
                </w:p>
              </w:tc>
              <w:tc>
                <w:tcPr>
                  <w:tcW w:w="323"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面源长度/m</w:t>
                  </w:r>
                </w:p>
              </w:tc>
              <w:tc>
                <w:tcPr>
                  <w:tcW w:w="393"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面源宽度/m</w:t>
                  </w:r>
                </w:p>
              </w:tc>
              <w:tc>
                <w:tcPr>
                  <w:tcW w:w="385"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与正北向夹角/（°）</w:t>
                  </w:r>
                </w:p>
              </w:tc>
              <w:tc>
                <w:tcPr>
                  <w:tcW w:w="496"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面源初始排放高度/m</w:t>
                  </w:r>
                </w:p>
              </w:tc>
              <w:tc>
                <w:tcPr>
                  <w:tcW w:w="425"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年排放小时数/h</w:t>
                  </w:r>
                </w:p>
              </w:tc>
              <w:tc>
                <w:tcPr>
                  <w:tcW w:w="275" w:type="pct"/>
                  <w:vMerge w:val="restar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排放工况</w:t>
                  </w:r>
                </w:p>
              </w:tc>
              <w:tc>
                <w:tcPr>
                  <w:tcW w:w="673" w:type="pct"/>
                  <w:vAlign w:val="center"/>
                </w:tcPr>
                <w:p>
                  <w:pPr>
                    <w:widowControl/>
                    <w:adjustRightInd w:val="0"/>
                    <w:snapToGrid w:val="0"/>
                    <w:jc w:val="center"/>
                    <w:textAlignment w:val="baseline"/>
                    <w:rPr>
                      <w:rFonts w:cs="宋体"/>
                      <w:color w:val="000000"/>
                      <w:spacing w:val="4"/>
                      <w:kern w:val="0"/>
                      <w:szCs w:val="21"/>
                    </w:rPr>
                  </w:pPr>
                  <w:r>
                    <w:rPr>
                      <w:rFonts w:cs="宋体"/>
                      <w:color w:val="000000"/>
                      <w:spacing w:val="4"/>
                      <w:kern w:val="0"/>
                      <w:szCs w:val="21"/>
                    </w:rPr>
                    <w:t>污染物排放速率（kg/h）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75" w:type="pct"/>
                  <w:vMerge w:val="continue"/>
                  <w:vAlign w:val="center"/>
                </w:tcPr>
                <w:p>
                  <w:pPr>
                    <w:widowControl/>
                    <w:adjustRightInd w:val="0"/>
                    <w:snapToGrid w:val="0"/>
                    <w:jc w:val="center"/>
                    <w:textAlignment w:val="baseline"/>
                    <w:rPr>
                      <w:rFonts w:cs="宋体"/>
                      <w:color w:val="000000"/>
                      <w:spacing w:val="4"/>
                      <w:kern w:val="0"/>
                      <w:szCs w:val="21"/>
                    </w:rPr>
                  </w:pPr>
                </w:p>
              </w:tc>
              <w:tc>
                <w:tcPr>
                  <w:tcW w:w="715" w:type="pct"/>
                  <w:vAlign w:val="center"/>
                </w:tcPr>
                <w:p>
                  <w:pPr>
                    <w:jc w:val="center"/>
                    <w:rPr>
                      <w:rFonts w:cs="宋体"/>
                      <w:color w:val="000000"/>
                      <w:spacing w:val="4"/>
                      <w:kern w:val="0"/>
                      <w:szCs w:val="21"/>
                    </w:rPr>
                  </w:pPr>
                  <w:r>
                    <w:rPr>
                      <w:rFonts w:hint="eastAsia" w:cs="宋体"/>
                      <w:color w:val="000000"/>
                      <w:spacing w:val="4"/>
                      <w:kern w:val="0"/>
                      <w:szCs w:val="21"/>
                    </w:rPr>
                    <w:t>经度</w:t>
                  </w:r>
                </w:p>
              </w:tc>
              <w:tc>
                <w:tcPr>
                  <w:tcW w:w="621" w:type="pct"/>
                  <w:vAlign w:val="center"/>
                </w:tcPr>
                <w:p>
                  <w:pPr>
                    <w:jc w:val="center"/>
                    <w:rPr>
                      <w:rFonts w:cs="宋体"/>
                      <w:color w:val="000000"/>
                      <w:spacing w:val="4"/>
                      <w:kern w:val="0"/>
                      <w:szCs w:val="21"/>
                    </w:rPr>
                  </w:pPr>
                  <w:r>
                    <w:rPr>
                      <w:rFonts w:hint="eastAsia" w:cs="宋体"/>
                      <w:color w:val="000000"/>
                      <w:spacing w:val="4"/>
                      <w:kern w:val="0"/>
                      <w:szCs w:val="21"/>
                    </w:rPr>
                    <w:t>纬度</w:t>
                  </w:r>
                </w:p>
              </w:tc>
              <w:tc>
                <w:tcPr>
                  <w:tcW w:w="314" w:type="pct"/>
                  <w:vMerge w:val="continue"/>
                  <w:vAlign w:val="center"/>
                </w:tcPr>
                <w:p>
                  <w:pPr>
                    <w:widowControl/>
                    <w:adjustRightInd w:val="0"/>
                    <w:snapToGrid w:val="0"/>
                    <w:jc w:val="center"/>
                    <w:textAlignment w:val="baseline"/>
                    <w:rPr>
                      <w:rFonts w:cs="宋体"/>
                      <w:color w:val="000000"/>
                      <w:spacing w:val="4"/>
                      <w:kern w:val="0"/>
                      <w:szCs w:val="21"/>
                    </w:rPr>
                  </w:pPr>
                </w:p>
              </w:tc>
              <w:tc>
                <w:tcPr>
                  <w:tcW w:w="323" w:type="pct"/>
                  <w:vMerge w:val="continue"/>
                  <w:vAlign w:val="center"/>
                </w:tcPr>
                <w:p>
                  <w:pPr>
                    <w:widowControl/>
                    <w:adjustRightInd w:val="0"/>
                    <w:snapToGrid w:val="0"/>
                    <w:jc w:val="center"/>
                    <w:textAlignment w:val="baseline"/>
                    <w:rPr>
                      <w:rFonts w:cs="宋体"/>
                      <w:color w:val="000000"/>
                      <w:spacing w:val="4"/>
                      <w:kern w:val="0"/>
                      <w:szCs w:val="21"/>
                    </w:rPr>
                  </w:pPr>
                </w:p>
              </w:tc>
              <w:tc>
                <w:tcPr>
                  <w:tcW w:w="393" w:type="pct"/>
                  <w:vMerge w:val="continue"/>
                  <w:vAlign w:val="center"/>
                </w:tcPr>
                <w:p>
                  <w:pPr>
                    <w:widowControl/>
                    <w:adjustRightInd w:val="0"/>
                    <w:snapToGrid w:val="0"/>
                    <w:jc w:val="center"/>
                    <w:textAlignment w:val="baseline"/>
                    <w:rPr>
                      <w:rFonts w:cs="宋体"/>
                      <w:color w:val="000000"/>
                      <w:spacing w:val="4"/>
                      <w:kern w:val="0"/>
                      <w:szCs w:val="21"/>
                    </w:rPr>
                  </w:pPr>
                </w:p>
              </w:tc>
              <w:tc>
                <w:tcPr>
                  <w:tcW w:w="385" w:type="pct"/>
                  <w:vMerge w:val="continue"/>
                  <w:vAlign w:val="center"/>
                </w:tcPr>
                <w:p>
                  <w:pPr>
                    <w:widowControl/>
                    <w:adjustRightInd w:val="0"/>
                    <w:snapToGrid w:val="0"/>
                    <w:jc w:val="center"/>
                    <w:textAlignment w:val="baseline"/>
                    <w:rPr>
                      <w:rFonts w:cs="宋体"/>
                      <w:color w:val="000000"/>
                      <w:spacing w:val="4"/>
                      <w:kern w:val="0"/>
                      <w:szCs w:val="21"/>
                    </w:rPr>
                  </w:pPr>
                </w:p>
              </w:tc>
              <w:tc>
                <w:tcPr>
                  <w:tcW w:w="496" w:type="pct"/>
                  <w:vMerge w:val="continue"/>
                  <w:vAlign w:val="center"/>
                </w:tcPr>
                <w:p>
                  <w:pPr>
                    <w:widowControl/>
                    <w:adjustRightInd w:val="0"/>
                    <w:snapToGrid w:val="0"/>
                    <w:jc w:val="center"/>
                    <w:textAlignment w:val="baseline"/>
                    <w:rPr>
                      <w:rFonts w:cs="宋体"/>
                      <w:color w:val="000000"/>
                      <w:spacing w:val="4"/>
                      <w:kern w:val="0"/>
                      <w:szCs w:val="21"/>
                    </w:rPr>
                  </w:pPr>
                </w:p>
              </w:tc>
              <w:tc>
                <w:tcPr>
                  <w:tcW w:w="425" w:type="pct"/>
                  <w:vMerge w:val="continue"/>
                  <w:vAlign w:val="center"/>
                </w:tcPr>
                <w:p>
                  <w:pPr>
                    <w:widowControl/>
                    <w:adjustRightInd w:val="0"/>
                    <w:snapToGrid w:val="0"/>
                    <w:jc w:val="center"/>
                    <w:textAlignment w:val="baseline"/>
                    <w:rPr>
                      <w:rFonts w:cs="宋体"/>
                      <w:color w:val="000000"/>
                      <w:spacing w:val="4"/>
                      <w:kern w:val="0"/>
                      <w:szCs w:val="21"/>
                    </w:rPr>
                  </w:pPr>
                </w:p>
              </w:tc>
              <w:tc>
                <w:tcPr>
                  <w:tcW w:w="275" w:type="pct"/>
                  <w:vMerge w:val="continue"/>
                  <w:vAlign w:val="center"/>
                </w:tcPr>
                <w:p>
                  <w:pPr>
                    <w:widowControl/>
                    <w:adjustRightInd w:val="0"/>
                    <w:snapToGrid w:val="0"/>
                    <w:jc w:val="center"/>
                    <w:textAlignment w:val="baseline"/>
                    <w:rPr>
                      <w:rFonts w:cs="宋体"/>
                      <w:color w:val="000000"/>
                      <w:spacing w:val="4"/>
                      <w:kern w:val="0"/>
                      <w:szCs w:val="21"/>
                    </w:rPr>
                  </w:pPr>
                </w:p>
              </w:tc>
              <w:tc>
                <w:tcPr>
                  <w:tcW w:w="673" w:type="pc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375" w:type="pct"/>
                  <w:vAlign w:val="center"/>
                </w:tcPr>
                <w:p>
                  <w:pPr>
                    <w:autoSpaceDE w:val="0"/>
                    <w:autoSpaceDN w:val="0"/>
                    <w:adjustRightInd w:val="0"/>
                    <w:jc w:val="center"/>
                    <w:rPr>
                      <w:rFonts w:cs="宋体"/>
                      <w:color w:val="000000"/>
                      <w:spacing w:val="4"/>
                      <w:kern w:val="0"/>
                      <w:szCs w:val="21"/>
                    </w:rPr>
                  </w:pPr>
                  <w:r>
                    <w:rPr>
                      <w:rFonts w:hint="eastAsia" w:ascii="宋体" w:hAnsi="宋体"/>
                      <w:color w:val="000000"/>
                      <w:kern w:val="0"/>
                      <w:szCs w:val="21"/>
                    </w:rPr>
                    <w:t>车间</w:t>
                  </w:r>
                </w:p>
              </w:tc>
              <w:tc>
                <w:tcPr>
                  <w:tcW w:w="715" w:type="pct"/>
                  <w:vAlign w:val="center"/>
                </w:tcPr>
                <w:p>
                  <w:pPr>
                    <w:widowControl/>
                    <w:jc w:val="center"/>
                    <w:rPr>
                      <w:color w:val="000000"/>
                      <w:kern w:val="0"/>
                      <w:szCs w:val="21"/>
                    </w:rPr>
                  </w:pPr>
                  <w:r>
                    <w:rPr>
                      <w:color w:val="000000"/>
                      <w:spacing w:val="4"/>
                      <w:kern w:val="0"/>
                      <w:szCs w:val="21"/>
                    </w:rPr>
                    <w:t>120.45</w:t>
                  </w:r>
                  <w:r>
                    <w:rPr>
                      <w:rFonts w:hint="eastAsia"/>
                      <w:color w:val="000000"/>
                      <w:spacing w:val="4"/>
                      <w:kern w:val="0"/>
                      <w:szCs w:val="21"/>
                    </w:rPr>
                    <w:t>29°</w:t>
                  </w:r>
                </w:p>
              </w:tc>
              <w:tc>
                <w:tcPr>
                  <w:tcW w:w="621" w:type="pct"/>
                  <w:vAlign w:val="center"/>
                </w:tcPr>
                <w:p>
                  <w:pPr>
                    <w:jc w:val="center"/>
                    <w:rPr>
                      <w:color w:val="000000"/>
                      <w:kern w:val="0"/>
                      <w:szCs w:val="21"/>
                    </w:rPr>
                  </w:pPr>
                  <w:r>
                    <w:rPr>
                      <w:rFonts w:hint="eastAsia"/>
                      <w:color w:val="000000"/>
                      <w:kern w:val="0"/>
                      <w:szCs w:val="21"/>
                    </w:rPr>
                    <w:t>31.3858°</w:t>
                  </w:r>
                </w:p>
              </w:tc>
              <w:tc>
                <w:tcPr>
                  <w:tcW w:w="314" w:type="pc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3</w:t>
                  </w:r>
                </w:p>
              </w:tc>
              <w:tc>
                <w:tcPr>
                  <w:tcW w:w="323" w:type="pct"/>
                  <w:vAlign w:val="center"/>
                </w:tcPr>
                <w:p>
                  <w:pPr>
                    <w:adjustRightInd w:val="0"/>
                    <w:snapToGrid w:val="0"/>
                    <w:jc w:val="center"/>
                    <w:rPr>
                      <w:rFonts w:cs="宋体"/>
                      <w:color w:val="000000"/>
                      <w:spacing w:val="4"/>
                      <w:kern w:val="0"/>
                      <w:szCs w:val="21"/>
                    </w:rPr>
                  </w:pPr>
                  <w:r>
                    <w:rPr>
                      <w:rFonts w:hint="eastAsia" w:cs="宋体"/>
                      <w:color w:val="000000"/>
                      <w:spacing w:val="4"/>
                      <w:kern w:val="0"/>
                      <w:szCs w:val="21"/>
                    </w:rPr>
                    <w:t>41.15</w:t>
                  </w:r>
                </w:p>
              </w:tc>
              <w:tc>
                <w:tcPr>
                  <w:tcW w:w="393" w:type="pct"/>
                  <w:vAlign w:val="center"/>
                </w:tcPr>
                <w:p>
                  <w:pPr>
                    <w:adjustRightInd w:val="0"/>
                    <w:snapToGrid w:val="0"/>
                    <w:jc w:val="center"/>
                    <w:rPr>
                      <w:rFonts w:cs="宋体"/>
                      <w:color w:val="000000"/>
                      <w:spacing w:val="4"/>
                      <w:kern w:val="0"/>
                      <w:szCs w:val="21"/>
                    </w:rPr>
                  </w:pPr>
                  <w:r>
                    <w:rPr>
                      <w:rFonts w:hint="eastAsia" w:cs="宋体"/>
                      <w:color w:val="000000"/>
                      <w:spacing w:val="4"/>
                      <w:kern w:val="0"/>
                      <w:szCs w:val="21"/>
                    </w:rPr>
                    <w:t>90</w:t>
                  </w:r>
                </w:p>
              </w:tc>
              <w:tc>
                <w:tcPr>
                  <w:tcW w:w="385" w:type="pc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0</w:t>
                  </w:r>
                </w:p>
              </w:tc>
              <w:tc>
                <w:tcPr>
                  <w:tcW w:w="496" w:type="pc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10</w:t>
                  </w:r>
                </w:p>
              </w:tc>
              <w:tc>
                <w:tcPr>
                  <w:tcW w:w="425" w:type="pct"/>
                  <w:vAlign w:val="center"/>
                </w:tcPr>
                <w:p>
                  <w:pPr>
                    <w:widowControl/>
                    <w:jc w:val="center"/>
                    <w:rPr>
                      <w:rFonts w:cs="宋体"/>
                      <w:color w:val="000000"/>
                      <w:spacing w:val="4"/>
                      <w:kern w:val="0"/>
                      <w:szCs w:val="21"/>
                    </w:rPr>
                  </w:pPr>
                  <w:r>
                    <w:rPr>
                      <w:rFonts w:hint="eastAsia" w:cs="宋体"/>
                      <w:color w:val="000000"/>
                      <w:spacing w:val="4"/>
                      <w:kern w:val="0"/>
                      <w:szCs w:val="21"/>
                    </w:rPr>
                    <w:t>7200</w:t>
                  </w:r>
                </w:p>
              </w:tc>
              <w:tc>
                <w:tcPr>
                  <w:tcW w:w="275" w:type="pct"/>
                  <w:vAlign w:val="center"/>
                </w:tcPr>
                <w:p>
                  <w:pPr>
                    <w:widowControl/>
                    <w:adjustRightInd w:val="0"/>
                    <w:snapToGrid w:val="0"/>
                    <w:jc w:val="center"/>
                    <w:textAlignment w:val="baseline"/>
                    <w:rPr>
                      <w:rFonts w:cs="宋体"/>
                      <w:color w:val="000000"/>
                      <w:spacing w:val="4"/>
                      <w:kern w:val="0"/>
                      <w:szCs w:val="21"/>
                    </w:rPr>
                  </w:pPr>
                  <w:r>
                    <w:rPr>
                      <w:rFonts w:hint="eastAsia" w:cs="宋体"/>
                      <w:color w:val="000000"/>
                      <w:spacing w:val="4"/>
                      <w:kern w:val="0"/>
                      <w:szCs w:val="21"/>
                    </w:rPr>
                    <w:t>连续</w:t>
                  </w:r>
                </w:p>
              </w:tc>
              <w:tc>
                <w:tcPr>
                  <w:tcW w:w="673" w:type="pct"/>
                  <w:vAlign w:val="center"/>
                </w:tcPr>
                <w:p>
                  <w:pPr>
                    <w:widowControl/>
                    <w:adjustRightInd w:val="0"/>
                    <w:snapToGrid w:val="0"/>
                    <w:jc w:val="center"/>
                    <w:textAlignment w:val="baseline"/>
                    <w:rPr>
                      <w:rFonts w:hint="default" w:eastAsia="宋体" w:cs="宋体"/>
                      <w:color w:val="000000"/>
                      <w:spacing w:val="4"/>
                      <w:kern w:val="0"/>
                      <w:szCs w:val="21"/>
                      <w:lang w:val="en-US" w:eastAsia="zh-CN"/>
                    </w:rPr>
                  </w:pPr>
                  <w:r>
                    <w:rPr>
                      <w:color w:val="000000"/>
                      <w:szCs w:val="21"/>
                    </w:rPr>
                    <w:t>0.0</w:t>
                  </w:r>
                  <w:r>
                    <w:rPr>
                      <w:rFonts w:hint="eastAsia"/>
                      <w:color w:val="000000"/>
                      <w:szCs w:val="21"/>
                      <w:lang w:val="en-US" w:eastAsia="zh-CN"/>
                    </w:rPr>
                    <w:t>181</w:t>
                  </w:r>
                </w:p>
              </w:tc>
            </w:tr>
          </w:tbl>
          <w:p>
            <w:pPr>
              <w:tabs>
                <w:tab w:val="left" w:pos="0"/>
              </w:tabs>
              <w:spacing w:line="360" w:lineRule="auto"/>
              <w:ind w:firstLine="240" w:firstLineChars="100"/>
              <w:rPr>
                <w:color w:val="000000"/>
                <w:sz w:val="24"/>
              </w:rPr>
            </w:pPr>
            <w:r>
              <w:rPr>
                <w:color w:val="000000"/>
                <w:sz w:val="24"/>
              </w:rPr>
              <w:t>（2）非正常工况</w:t>
            </w:r>
          </w:p>
          <w:p>
            <w:pPr>
              <w:tabs>
                <w:tab w:val="left" w:pos="0"/>
              </w:tabs>
              <w:spacing w:line="360" w:lineRule="auto"/>
              <w:ind w:firstLine="480" w:firstLineChars="200"/>
              <w:jc w:val="left"/>
              <w:rPr>
                <w:color w:val="000000"/>
                <w:sz w:val="24"/>
              </w:rPr>
            </w:pPr>
            <w:r>
              <w:rPr>
                <w:color w:val="000000"/>
                <w:sz w:val="24"/>
              </w:rPr>
              <w:t>本项目非正常工况包括开停工和环保设施达不到设计参数等情况的排污，不包括恶性事故排放。</w:t>
            </w:r>
          </w:p>
          <w:p>
            <w:pPr>
              <w:tabs>
                <w:tab w:val="left" w:pos="0"/>
              </w:tabs>
              <w:spacing w:line="360" w:lineRule="auto"/>
              <w:ind w:firstLine="480" w:firstLineChars="200"/>
              <w:jc w:val="left"/>
              <w:rPr>
                <w:color w:val="000000"/>
                <w:sz w:val="24"/>
              </w:rPr>
            </w:pPr>
            <w:r>
              <w:rPr>
                <w:color w:val="000000"/>
                <w:sz w:val="24"/>
              </w:rPr>
              <w:t>1）开、停工污染源强分析</w:t>
            </w:r>
          </w:p>
          <w:p>
            <w:pPr>
              <w:tabs>
                <w:tab w:val="left" w:pos="0"/>
              </w:tabs>
              <w:spacing w:line="360" w:lineRule="auto"/>
              <w:ind w:firstLine="480" w:firstLineChars="200"/>
              <w:jc w:val="left"/>
              <w:rPr>
                <w:color w:val="000000"/>
                <w:sz w:val="24"/>
              </w:rPr>
            </w:pPr>
            <w:r>
              <w:rPr>
                <w:color w:val="000000"/>
                <w:sz w:val="24"/>
              </w:rPr>
              <w:t>对于开、停工，企业需做到：</w:t>
            </w:r>
          </w:p>
          <w:p>
            <w:pPr>
              <w:tabs>
                <w:tab w:val="left" w:pos="0"/>
              </w:tabs>
              <w:spacing w:line="360" w:lineRule="auto"/>
              <w:ind w:firstLine="480" w:firstLineChars="200"/>
              <w:jc w:val="left"/>
              <w:rPr>
                <w:color w:val="000000"/>
                <w:sz w:val="24"/>
              </w:rPr>
            </w:pPr>
            <w:r>
              <w:rPr>
                <w:color w:val="000000"/>
                <w:sz w:val="24"/>
              </w:rPr>
              <w:t>①车间开工时，首先运行对应的废气处理装置，然后再进行人工或机械操作。</w:t>
            </w:r>
          </w:p>
          <w:p>
            <w:pPr>
              <w:tabs>
                <w:tab w:val="left" w:pos="0"/>
              </w:tabs>
              <w:spacing w:line="360" w:lineRule="auto"/>
              <w:ind w:firstLine="480" w:firstLineChars="200"/>
              <w:jc w:val="left"/>
              <w:rPr>
                <w:color w:val="000000"/>
                <w:sz w:val="24"/>
              </w:rPr>
            </w:pPr>
            <w:r>
              <w:rPr>
                <w:color w:val="000000"/>
                <w:sz w:val="24"/>
              </w:rPr>
              <w:t>②车间停工时，所有的废气处理装置继续运转，待产生的废气排出之后才逐台关闭。</w:t>
            </w:r>
          </w:p>
          <w:p>
            <w:pPr>
              <w:tabs>
                <w:tab w:val="left" w:pos="0"/>
              </w:tabs>
              <w:spacing w:line="360" w:lineRule="auto"/>
              <w:ind w:firstLine="480" w:firstLineChars="200"/>
              <w:jc w:val="left"/>
              <w:rPr>
                <w:color w:val="000000"/>
                <w:sz w:val="24"/>
              </w:rPr>
            </w:pPr>
            <w:r>
              <w:rPr>
                <w:color w:val="000000"/>
                <w:sz w:val="24"/>
              </w:rPr>
              <w:t>车间在开、停车时排出污染物均得到有效处理，经排放口排出的污染物浓度和正常生产时基本一致。</w:t>
            </w:r>
          </w:p>
          <w:p>
            <w:pPr>
              <w:tabs>
                <w:tab w:val="left" w:pos="0"/>
              </w:tabs>
              <w:spacing w:line="360" w:lineRule="auto"/>
              <w:ind w:firstLine="480" w:firstLineChars="200"/>
              <w:jc w:val="left"/>
              <w:rPr>
                <w:color w:val="000000"/>
                <w:sz w:val="24"/>
              </w:rPr>
            </w:pPr>
            <w:r>
              <w:rPr>
                <w:color w:val="000000"/>
                <w:sz w:val="24"/>
              </w:rPr>
              <w:t>2）环保设施出现故障</w:t>
            </w:r>
          </w:p>
          <w:p>
            <w:pPr>
              <w:tabs>
                <w:tab w:val="left" w:pos="0"/>
              </w:tabs>
              <w:spacing w:line="360" w:lineRule="auto"/>
              <w:ind w:firstLine="480" w:firstLineChars="200"/>
              <w:jc w:val="left"/>
              <w:rPr>
                <w:color w:val="000000"/>
                <w:sz w:val="24"/>
              </w:rPr>
            </w:pPr>
            <w:r>
              <w:rPr>
                <w:color w:val="000000"/>
                <w:sz w:val="24"/>
              </w:rPr>
              <w:t>在开工前要求先运行对应的废气处理装置，检查风机以及处理设施是否正常，在确保废气处理设施正常情况下再进行生产。</w:t>
            </w:r>
          </w:p>
          <w:p>
            <w:pPr>
              <w:tabs>
                <w:tab w:val="left" w:pos="0"/>
              </w:tabs>
              <w:spacing w:line="360" w:lineRule="auto"/>
              <w:ind w:firstLine="480" w:firstLineChars="200"/>
              <w:jc w:val="left"/>
              <w:rPr>
                <w:color w:val="000000"/>
                <w:sz w:val="24"/>
              </w:rPr>
            </w:pPr>
            <w:r>
              <w:rPr>
                <w:color w:val="000000"/>
                <w:sz w:val="24"/>
              </w:rPr>
              <w:t>考虑最不利情况，在生产过程中环保措施出现故障，因此本项目非正常情况设定为：本项目有机废气活性炭吸附装置发生事故，有机废气未经处理直接排放。</w:t>
            </w:r>
          </w:p>
          <w:p>
            <w:pPr>
              <w:tabs>
                <w:tab w:val="left" w:pos="0"/>
              </w:tabs>
              <w:spacing w:line="360" w:lineRule="auto"/>
              <w:ind w:firstLine="480" w:firstLineChars="200"/>
              <w:jc w:val="left"/>
              <w:rPr>
                <w:color w:val="000000"/>
                <w:sz w:val="24"/>
              </w:rPr>
            </w:pPr>
            <w:r>
              <w:rPr>
                <w:color w:val="000000"/>
                <w:sz w:val="24"/>
              </w:rPr>
              <w:t>考虑最不利情况，以环保设施处理效率为0计算非正常工况下污染物产生及排放源强。</w:t>
            </w:r>
          </w:p>
          <w:p>
            <w:pPr>
              <w:spacing w:before="60"/>
              <w:jc w:val="center"/>
              <w:rPr>
                <w:b/>
                <w:color w:val="000000"/>
                <w:sz w:val="24"/>
              </w:rPr>
            </w:pPr>
            <w:r>
              <w:rPr>
                <w:b/>
                <w:color w:val="000000"/>
                <w:sz w:val="24"/>
              </w:rPr>
              <w:t>表4-</w:t>
            </w:r>
            <w:r>
              <w:rPr>
                <w:rFonts w:hint="eastAsia"/>
                <w:b/>
                <w:color w:val="000000"/>
                <w:sz w:val="24"/>
              </w:rPr>
              <w:t>5</w:t>
            </w:r>
            <w:r>
              <w:rPr>
                <w:b/>
                <w:color w:val="000000"/>
                <w:sz w:val="24"/>
              </w:rPr>
              <w:t xml:space="preserve">  非正常情况下污染物产生与排放情况</w:t>
            </w:r>
          </w:p>
          <w:tbl>
            <w:tblPr>
              <w:tblStyle w:val="2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209"/>
              <w:gridCol w:w="1814"/>
              <w:gridCol w:w="1511"/>
              <w:gridCol w:w="1515"/>
              <w:gridCol w:w="15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Align w:val="center"/>
                </w:tcPr>
                <w:p>
                  <w:pPr>
                    <w:jc w:val="center"/>
                    <w:rPr>
                      <w:b/>
                      <w:color w:val="000000"/>
                      <w:kern w:val="0"/>
                      <w:szCs w:val="21"/>
                    </w:rPr>
                  </w:pPr>
                  <w:r>
                    <w:rPr>
                      <w:b/>
                      <w:color w:val="000000"/>
                      <w:kern w:val="0"/>
                      <w:szCs w:val="21"/>
                    </w:rPr>
                    <w:t>排气筒编号</w:t>
                  </w:r>
                </w:p>
              </w:tc>
              <w:tc>
                <w:tcPr>
                  <w:tcW w:w="666" w:type="pct"/>
                  <w:vAlign w:val="center"/>
                </w:tcPr>
                <w:p>
                  <w:pPr>
                    <w:jc w:val="center"/>
                    <w:rPr>
                      <w:b/>
                      <w:color w:val="000000"/>
                      <w:kern w:val="0"/>
                      <w:szCs w:val="21"/>
                    </w:rPr>
                  </w:pPr>
                  <w:r>
                    <w:rPr>
                      <w:b/>
                      <w:color w:val="000000"/>
                      <w:kern w:val="0"/>
                      <w:szCs w:val="21"/>
                    </w:rPr>
                    <w:t>非正常工况</w:t>
                  </w:r>
                </w:p>
              </w:tc>
              <w:tc>
                <w:tcPr>
                  <w:tcW w:w="999" w:type="pct"/>
                  <w:vAlign w:val="center"/>
                </w:tcPr>
                <w:p>
                  <w:pPr>
                    <w:jc w:val="center"/>
                    <w:rPr>
                      <w:b/>
                      <w:color w:val="000000"/>
                      <w:kern w:val="0"/>
                      <w:szCs w:val="21"/>
                    </w:rPr>
                  </w:pPr>
                  <w:r>
                    <w:rPr>
                      <w:b/>
                      <w:color w:val="000000"/>
                      <w:kern w:val="0"/>
                      <w:szCs w:val="21"/>
                    </w:rPr>
                    <w:t>污染物名称</w:t>
                  </w:r>
                </w:p>
              </w:tc>
              <w:tc>
                <w:tcPr>
                  <w:tcW w:w="832" w:type="pct"/>
                  <w:vAlign w:val="center"/>
                </w:tcPr>
                <w:p>
                  <w:pPr>
                    <w:jc w:val="center"/>
                    <w:rPr>
                      <w:b/>
                      <w:color w:val="000000"/>
                      <w:kern w:val="0"/>
                      <w:szCs w:val="21"/>
                    </w:rPr>
                  </w:pPr>
                  <w:r>
                    <w:rPr>
                      <w:b/>
                      <w:color w:val="000000"/>
                      <w:kern w:val="0"/>
                      <w:szCs w:val="21"/>
                    </w:rPr>
                    <w:t>排放速率（kg/h）</w:t>
                  </w:r>
                </w:p>
              </w:tc>
              <w:tc>
                <w:tcPr>
                  <w:tcW w:w="834" w:type="pct"/>
                  <w:vAlign w:val="center"/>
                </w:tcPr>
                <w:p>
                  <w:pPr>
                    <w:jc w:val="center"/>
                    <w:rPr>
                      <w:b/>
                      <w:color w:val="000000"/>
                      <w:kern w:val="0"/>
                      <w:szCs w:val="21"/>
                    </w:rPr>
                  </w:pPr>
                  <w:r>
                    <w:rPr>
                      <w:b/>
                      <w:color w:val="000000"/>
                      <w:kern w:val="0"/>
                      <w:szCs w:val="21"/>
                    </w:rPr>
                    <w:t>排放历时（min）</w:t>
                  </w:r>
                </w:p>
              </w:tc>
              <w:tc>
                <w:tcPr>
                  <w:tcW w:w="834" w:type="pct"/>
                  <w:vAlign w:val="center"/>
                </w:tcPr>
                <w:p>
                  <w:pPr>
                    <w:jc w:val="center"/>
                    <w:rPr>
                      <w:b/>
                      <w:color w:val="000000"/>
                      <w:kern w:val="0"/>
                      <w:szCs w:val="21"/>
                    </w:rPr>
                  </w:pPr>
                  <w:r>
                    <w:rPr>
                      <w:b/>
                      <w:color w:val="000000"/>
                      <w:kern w:val="0"/>
                      <w:szCs w:val="21"/>
                    </w:rPr>
                    <w:t>排放量（kg）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restart"/>
                  <w:vAlign w:val="center"/>
                </w:tcPr>
                <w:p>
                  <w:pPr>
                    <w:jc w:val="center"/>
                    <w:rPr>
                      <w:color w:val="000000"/>
                      <w:kern w:val="0"/>
                      <w:szCs w:val="21"/>
                    </w:rPr>
                  </w:pPr>
                  <w:r>
                    <w:rPr>
                      <w:rFonts w:hint="eastAsia"/>
                      <w:color w:val="000000"/>
                      <w:szCs w:val="21"/>
                    </w:rPr>
                    <w:t>DA001</w:t>
                  </w:r>
                </w:p>
              </w:tc>
              <w:tc>
                <w:tcPr>
                  <w:tcW w:w="666" w:type="pct"/>
                  <w:vMerge w:val="restart"/>
                  <w:vAlign w:val="center"/>
                </w:tcPr>
                <w:p>
                  <w:pPr>
                    <w:jc w:val="center"/>
                    <w:rPr>
                      <w:color w:val="000000"/>
                      <w:kern w:val="0"/>
                      <w:szCs w:val="21"/>
                    </w:rPr>
                  </w:pPr>
                  <w:r>
                    <w:rPr>
                      <w:color w:val="000000"/>
                      <w:kern w:val="0"/>
                      <w:szCs w:val="21"/>
                    </w:rPr>
                    <w:t>废气处理系统故障</w:t>
                  </w:r>
                </w:p>
              </w:tc>
              <w:tc>
                <w:tcPr>
                  <w:tcW w:w="999" w:type="pct"/>
                  <w:vAlign w:val="center"/>
                </w:tcPr>
                <w:p>
                  <w:pPr>
                    <w:jc w:val="center"/>
                    <w:rPr>
                      <w:color w:val="000000"/>
                      <w:szCs w:val="21"/>
                    </w:rPr>
                  </w:pPr>
                  <w:r>
                    <w:rPr>
                      <w:color w:val="000000"/>
                      <w:szCs w:val="21"/>
                    </w:rPr>
                    <w:t>非甲烷总烃</w:t>
                  </w:r>
                </w:p>
              </w:tc>
              <w:tc>
                <w:tcPr>
                  <w:tcW w:w="832" w:type="pct"/>
                  <w:vAlign w:val="center"/>
                </w:tcPr>
                <w:p>
                  <w:pPr>
                    <w:tabs>
                      <w:tab w:val="left" w:pos="0"/>
                    </w:tabs>
                    <w:adjustRightInd w:val="0"/>
                    <w:snapToGrid w:val="0"/>
                    <w:jc w:val="center"/>
                    <w:textAlignment w:val="baseline"/>
                    <w:rPr>
                      <w:color w:val="000000"/>
                      <w:szCs w:val="21"/>
                    </w:rPr>
                  </w:pPr>
                  <w:r>
                    <w:rPr>
                      <w:rFonts w:hint="eastAsia"/>
                      <w:bCs/>
                      <w:color w:val="000000"/>
                      <w:spacing w:val="4"/>
                      <w:szCs w:val="21"/>
                    </w:rPr>
                    <w:t>0.228</w:t>
                  </w:r>
                </w:p>
              </w:tc>
              <w:tc>
                <w:tcPr>
                  <w:tcW w:w="834" w:type="pct"/>
                  <w:vAlign w:val="center"/>
                </w:tcPr>
                <w:p>
                  <w:pPr>
                    <w:jc w:val="center"/>
                    <w:rPr>
                      <w:color w:val="000000"/>
                      <w:kern w:val="0"/>
                      <w:szCs w:val="21"/>
                    </w:rPr>
                  </w:pPr>
                  <w:r>
                    <w:rPr>
                      <w:color w:val="000000"/>
                      <w:kern w:val="0"/>
                      <w:szCs w:val="21"/>
                    </w:rPr>
                    <w:t>10</w:t>
                  </w:r>
                </w:p>
              </w:tc>
              <w:tc>
                <w:tcPr>
                  <w:tcW w:w="834" w:type="pct"/>
                  <w:vAlign w:val="center"/>
                </w:tcPr>
                <w:p>
                  <w:pPr>
                    <w:adjustRightInd w:val="0"/>
                    <w:snapToGrid w:val="0"/>
                    <w:jc w:val="center"/>
                    <w:rPr>
                      <w:color w:val="000000"/>
                      <w:szCs w:val="21"/>
                    </w:rPr>
                  </w:pPr>
                  <w:r>
                    <w:rPr>
                      <w:color w:val="000000"/>
                      <w:szCs w:val="21"/>
                    </w:rPr>
                    <w:t>0.0</w:t>
                  </w:r>
                  <w:r>
                    <w:rPr>
                      <w:rFonts w:hint="eastAsia"/>
                      <w:color w:val="000000"/>
                      <w:szCs w:val="21"/>
                    </w:rPr>
                    <w:t>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continue"/>
                  <w:vAlign w:val="center"/>
                </w:tcPr>
                <w:p>
                  <w:pPr>
                    <w:jc w:val="center"/>
                    <w:rPr>
                      <w:color w:val="000000"/>
                      <w:szCs w:val="21"/>
                    </w:rPr>
                  </w:pPr>
                </w:p>
              </w:tc>
              <w:tc>
                <w:tcPr>
                  <w:tcW w:w="666" w:type="pct"/>
                  <w:vMerge w:val="continue"/>
                  <w:vAlign w:val="center"/>
                </w:tcPr>
                <w:p>
                  <w:pPr>
                    <w:jc w:val="center"/>
                    <w:rPr>
                      <w:color w:val="000000"/>
                      <w:kern w:val="0"/>
                      <w:szCs w:val="21"/>
                    </w:rPr>
                  </w:pPr>
                </w:p>
              </w:tc>
              <w:tc>
                <w:tcPr>
                  <w:tcW w:w="999" w:type="pct"/>
                  <w:vAlign w:val="center"/>
                </w:tcPr>
                <w:p>
                  <w:pPr>
                    <w:jc w:val="center"/>
                    <w:rPr>
                      <w:color w:val="000000"/>
                      <w:szCs w:val="21"/>
                    </w:rPr>
                  </w:pPr>
                  <w:r>
                    <w:rPr>
                      <w:color w:val="000000"/>
                      <w:szCs w:val="21"/>
                    </w:rPr>
                    <w:t>非甲烷总烃</w:t>
                  </w:r>
                </w:p>
              </w:tc>
              <w:tc>
                <w:tcPr>
                  <w:tcW w:w="832" w:type="pct"/>
                  <w:vAlign w:val="center"/>
                </w:tcPr>
                <w:p>
                  <w:pPr>
                    <w:tabs>
                      <w:tab w:val="left" w:pos="0"/>
                    </w:tabs>
                    <w:adjustRightInd w:val="0"/>
                    <w:snapToGrid w:val="0"/>
                    <w:jc w:val="center"/>
                    <w:textAlignment w:val="baseline"/>
                    <w:rPr>
                      <w:bCs/>
                      <w:color w:val="000000"/>
                      <w:spacing w:val="4"/>
                      <w:szCs w:val="22"/>
                    </w:rPr>
                  </w:pPr>
                  <w:r>
                    <w:rPr>
                      <w:rFonts w:hint="eastAsia"/>
                      <w:bCs/>
                      <w:color w:val="000000"/>
                      <w:spacing w:val="4"/>
                      <w:szCs w:val="21"/>
                    </w:rPr>
                    <w:t>0.16</w:t>
                  </w:r>
                </w:p>
              </w:tc>
              <w:tc>
                <w:tcPr>
                  <w:tcW w:w="834" w:type="pct"/>
                  <w:vAlign w:val="center"/>
                </w:tcPr>
                <w:p>
                  <w:pPr>
                    <w:jc w:val="center"/>
                    <w:rPr>
                      <w:color w:val="000000"/>
                      <w:kern w:val="0"/>
                      <w:szCs w:val="21"/>
                    </w:rPr>
                  </w:pPr>
                  <w:r>
                    <w:rPr>
                      <w:color w:val="000000"/>
                      <w:kern w:val="0"/>
                      <w:szCs w:val="21"/>
                    </w:rPr>
                    <w:t>10</w:t>
                  </w:r>
                </w:p>
              </w:tc>
              <w:tc>
                <w:tcPr>
                  <w:tcW w:w="834" w:type="pct"/>
                  <w:vAlign w:val="center"/>
                </w:tcPr>
                <w:p>
                  <w:pPr>
                    <w:adjustRightInd w:val="0"/>
                    <w:snapToGrid w:val="0"/>
                    <w:jc w:val="center"/>
                    <w:rPr>
                      <w:color w:val="000000"/>
                      <w:szCs w:val="21"/>
                    </w:rPr>
                  </w:pPr>
                  <w:r>
                    <w:rPr>
                      <w:rFonts w:hint="eastAsia"/>
                      <w:color w:val="000000"/>
                      <w:szCs w:val="21"/>
                    </w:rPr>
                    <w:t>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832" w:type="pct"/>
                  <w:vAlign w:val="center"/>
                </w:tcPr>
                <w:p>
                  <w:pPr>
                    <w:jc w:val="center"/>
                    <w:rPr>
                      <w:color w:val="000000"/>
                      <w:kern w:val="0"/>
                      <w:szCs w:val="21"/>
                    </w:rPr>
                  </w:pPr>
                  <w:r>
                    <w:rPr>
                      <w:rFonts w:hint="eastAsia"/>
                      <w:color w:val="000000"/>
                      <w:szCs w:val="21"/>
                    </w:rPr>
                    <w:t>DA002</w:t>
                  </w:r>
                </w:p>
              </w:tc>
              <w:tc>
                <w:tcPr>
                  <w:tcW w:w="666" w:type="pct"/>
                  <w:vAlign w:val="center"/>
                </w:tcPr>
                <w:p>
                  <w:pPr>
                    <w:jc w:val="center"/>
                    <w:rPr>
                      <w:color w:val="000000"/>
                      <w:kern w:val="0"/>
                      <w:szCs w:val="21"/>
                    </w:rPr>
                  </w:pPr>
                  <w:r>
                    <w:rPr>
                      <w:color w:val="000000"/>
                      <w:kern w:val="0"/>
                      <w:szCs w:val="21"/>
                    </w:rPr>
                    <w:t>废气处理系统故障</w:t>
                  </w:r>
                </w:p>
              </w:tc>
              <w:tc>
                <w:tcPr>
                  <w:tcW w:w="999" w:type="pct"/>
                  <w:vAlign w:val="center"/>
                </w:tcPr>
                <w:p>
                  <w:pPr>
                    <w:jc w:val="center"/>
                    <w:rPr>
                      <w:bCs/>
                      <w:color w:val="000000"/>
                      <w:spacing w:val="4"/>
                      <w:szCs w:val="22"/>
                    </w:rPr>
                  </w:pPr>
                  <w:r>
                    <w:rPr>
                      <w:color w:val="000000"/>
                      <w:szCs w:val="21"/>
                    </w:rPr>
                    <w:t>非甲烷总烃</w:t>
                  </w:r>
                </w:p>
              </w:tc>
              <w:tc>
                <w:tcPr>
                  <w:tcW w:w="832" w:type="pct"/>
                  <w:vAlign w:val="center"/>
                </w:tcPr>
                <w:p>
                  <w:pPr>
                    <w:tabs>
                      <w:tab w:val="left" w:pos="0"/>
                    </w:tabs>
                    <w:adjustRightInd w:val="0"/>
                    <w:snapToGrid w:val="0"/>
                    <w:jc w:val="center"/>
                    <w:textAlignment w:val="baseline"/>
                    <w:rPr>
                      <w:rFonts w:hint="default" w:eastAsia="宋体"/>
                      <w:bCs/>
                      <w:color w:val="000000"/>
                      <w:spacing w:val="4"/>
                      <w:szCs w:val="22"/>
                      <w:lang w:val="en-US" w:eastAsia="zh-CN"/>
                    </w:rPr>
                  </w:pPr>
                  <w:r>
                    <w:rPr>
                      <w:rFonts w:hint="eastAsia"/>
                      <w:bCs/>
                      <w:color w:val="000000"/>
                      <w:spacing w:val="4"/>
                      <w:szCs w:val="21"/>
                    </w:rPr>
                    <w:t>0.</w:t>
                  </w:r>
                  <w:r>
                    <w:rPr>
                      <w:rFonts w:hint="eastAsia"/>
                      <w:bCs/>
                      <w:color w:val="000000"/>
                      <w:spacing w:val="4"/>
                      <w:szCs w:val="21"/>
                      <w:lang w:val="en-US" w:eastAsia="zh-CN"/>
                    </w:rPr>
                    <w:t>127</w:t>
                  </w:r>
                </w:p>
              </w:tc>
              <w:tc>
                <w:tcPr>
                  <w:tcW w:w="834" w:type="pct"/>
                  <w:vAlign w:val="center"/>
                </w:tcPr>
                <w:p>
                  <w:pPr>
                    <w:jc w:val="center"/>
                    <w:rPr>
                      <w:color w:val="000000"/>
                      <w:kern w:val="0"/>
                      <w:szCs w:val="21"/>
                    </w:rPr>
                  </w:pPr>
                  <w:r>
                    <w:rPr>
                      <w:color w:val="000000"/>
                      <w:kern w:val="0"/>
                      <w:szCs w:val="21"/>
                    </w:rPr>
                    <w:t>10</w:t>
                  </w:r>
                </w:p>
              </w:tc>
              <w:tc>
                <w:tcPr>
                  <w:tcW w:w="834" w:type="pct"/>
                  <w:vAlign w:val="center"/>
                </w:tcPr>
                <w:p>
                  <w:pPr>
                    <w:adjustRightInd w:val="0"/>
                    <w:snapToGrid w:val="0"/>
                    <w:jc w:val="center"/>
                    <w:rPr>
                      <w:rFonts w:hint="default" w:eastAsia="宋体"/>
                      <w:color w:val="000000"/>
                      <w:szCs w:val="21"/>
                      <w:lang w:val="en-US" w:eastAsia="zh-CN"/>
                    </w:rPr>
                  </w:pPr>
                  <w:r>
                    <w:rPr>
                      <w:color w:val="000000"/>
                      <w:szCs w:val="21"/>
                    </w:rPr>
                    <w:t>0.0</w:t>
                  </w:r>
                  <w:r>
                    <w:rPr>
                      <w:rFonts w:hint="eastAsia"/>
                      <w:color w:val="000000"/>
                      <w:szCs w:val="21"/>
                      <w:lang w:val="en-US" w:eastAsia="zh-CN"/>
                    </w:rPr>
                    <w:t>212</w:t>
                  </w:r>
                </w:p>
              </w:tc>
            </w:tr>
          </w:tbl>
          <w:p>
            <w:pPr>
              <w:tabs>
                <w:tab w:val="left" w:pos="0"/>
              </w:tabs>
              <w:spacing w:line="360" w:lineRule="auto"/>
              <w:ind w:firstLine="480" w:firstLineChars="200"/>
              <w:jc w:val="left"/>
              <w:rPr>
                <w:color w:val="000000"/>
                <w:sz w:val="24"/>
              </w:rPr>
            </w:pPr>
            <w:r>
              <w:rPr>
                <w:color w:val="000000"/>
                <w:sz w:val="24"/>
              </w:rPr>
              <w:t>要求建设单位需加强环保设备的管理和维护，经常对项目废气治理设施进行维修和检查，确保设备运行过程中能够正常运行，严防事故发生。</w:t>
            </w:r>
          </w:p>
          <w:p>
            <w:pPr>
              <w:tabs>
                <w:tab w:val="left" w:pos="0"/>
              </w:tabs>
              <w:spacing w:line="360" w:lineRule="auto"/>
              <w:ind w:firstLine="480" w:firstLineChars="200"/>
              <w:rPr>
                <w:color w:val="000000"/>
                <w:sz w:val="24"/>
              </w:rPr>
            </w:pPr>
            <w:r>
              <w:rPr>
                <w:color w:val="000000"/>
                <w:sz w:val="24"/>
              </w:rPr>
              <w:t>（3）污染物排放量核算</w:t>
            </w:r>
          </w:p>
          <w:p>
            <w:pPr>
              <w:tabs>
                <w:tab w:val="left" w:pos="0"/>
              </w:tabs>
              <w:spacing w:line="360" w:lineRule="auto"/>
              <w:ind w:firstLine="480" w:firstLineChars="200"/>
              <w:rPr>
                <w:color w:val="000000"/>
                <w:sz w:val="24"/>
              </w:rPr>
            </w:pPr>
            <w:r>
              <w:rPr>
                <w:color w:val="000000"/>
                <w:sz w:val="24"/>
              </w:rPr>
              <w:t>根据《排污许可证申请与核发技术规范 电子工业》（HJ1122—2020），本项目有组织废气排气筒均不属于主要排放口，有组织污染源强见下表。</w:t>
            </w:r>
          </w:p>
          <w:p>
            <w:pPr>
              <w:spacing w:before="60"/>
              <w:jc w:val="center"/>
              <w:rPr>
                <w:b/>
                <w:color w:val="000000"/>
                <w:sz w:val="24"/>
              </w:rPr>
            </w:pPr>
            <w:r>
              <w:rPr>
                <w:b/>
                <w:color w:val="000000"/>
                <w:sz w:val="24"/>
              </w:rPr>
              <w:t>表4-</w:t>
            </w:r>
            <w:r>
              <w:rPr>
                <w:rFonts w:hint="eastAsia"/>
                <w:b/>
                <w:color w:val="000000"/>
                <w:sz w:val="24"/>
              </w:rPr>
              <w:t>6</w:t>
            </w:r>
            <w:r>
              <w:rPr>
                <w:b/>
                <w:color w:val="000000"/>
                <w:sz w:val="24"/>
              </w:rPr>
              <w:t xml:space="preserve">  大气污染物有组织排放量核算表</w:t>
            </w:r>
          </w:p>
          <w:tbl>
            <w:tblPr>
              <w:tblStyle w:val="2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51"/>
              <w:gridCol w:w="1224"/>
              <w:gridCol w:w="1572"/>
              <w:gridCol w:w="1601"/>
              <w:gridCol w:w="1604"/>
              <w:gridCol w:w="16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801" w:type="pct"/>
                  <w:vAlign w:val="center"/>
                </w:tcPr>
                <w:p>
                  <w:pPr>
                    <w:autoSpaceDE w:val="0"/>
                    <w:autoSpaceDN w:val="0"/>
                    <w:jc w:val="center"/>
                    <w:rPr>
                      <w:b/>
                      <w:bCs/>
                      <w:color w:val="000000"/>
                      <w:szCs w:val="21"/>
                    </w:rPr>
                  </w:pPr>
                  <w:r>
                    <w:rPr>
                      <w:b/>
                      <w:bCs/>
                      <w:color w:val="000000"/>
                      <w:szCs w:val="21"/>
                    </w:rPr>
                    <w:t>序号</w:t>
                  </w:r>
                </w:p>
              </w:tc>
              <w:tc>
                <w:tcPr>
                  <w:tcW w:w="675" w:type="pct"/>
                  <w:vAlign w:val="center"/>
                </w:tcPr>
                <w:p>
                  <w:pPr>
                    <w:autoSpaceDE w:val="0"/>
                    <w:autoSpaceDN w:val="0"/>
                    <w:jc w:val="center"/>
                    <w:rPr>
                      <w:b/>
                      <w:bCs/>
                      <w:color w:val="000000"/>
                      <w:szCs w:val="21"/>
                    </w:rPr>
                  </w:pPr>
                  <w:r>
                    <w:rPr>
                      <w:b/>
                      <w:bCs/>
                      <w:color w:val="000000"/>
                      <w:szCs w:val="21"/>
                    </w:rPr>
                    <w:t>排放口</w:t>
                  </w:r>
                </w:p>
                <w:p>
                  <w:pPr>
                    <w:autoSpaceDE w:val="0"/>
                    <w:autoSpaceDN w:val="0"/>
                    <w:jc w:val="center"/>
                    <w:rPr>
                      <w:b/>
                      <w:bCs/>
                      <w:color w:val="000000"/>
                      <w:szCs w:val="21"/>
                    </w:rPr>
                  </w:pPr>
                  <w:r>
                    <w:rPr>
                      <w:b/>
                      <w:bCs/>
                      <w:color w:val="000000"/>
                      <w:szCs w:val="21"/>
                    </w:rPr>
                    <w:t>编号</w:t>
                  </w:r>
                </w:p>
              </w:tc>
              <w:tc>
                <w:tcPr>
                  <w:tcW w:w="867" w:type="pct"/>
                  <w:vAlign w:val="center"/>
                </w:tcPr>
                <w:p>
                  <w:pPr>
                    <w:autoSpaceDE w:val="0"/>
                    <w:autoSpaceDN w:val="0"/>
                    <w:jc w:val="center"/>
                    <w:rPr>
                      <w:b/>
                      <w:bCs/>
                      <w:color w:val="000000"/>
                      <w:szCs w:val="21"/>
                    </w:rPr>
                  </w:pPr>
                  <w:r>
                    <w:rPr>
                      <w:b/>
                      <w:bCs/>
                      <w:color w:val="000000"/>
                      <w:szCs w:val="21"/>
                    </w:rPr>
                    <w:t>污染物</w:t>
                  </w:r>
                </w:p>
              </w:tc>
              <w:tc>
                <w:tcPr>
                  <w:tcW w:w="883" w:type="pct"/>
                  <w:vAlign w:val="center"/>
                </w:tcPr>
                <w:p>
                  <w:pPr>
                    <w:autoSpaceDE w:val="0"/>
                    <w:autoSpaceDN w:val="0"/>
                    <w:jc w:val="center"/>
                    <w:rPr>
                      <w:b/>
                      <w:bCs/>
                      <w:color w:val="000000"/>
                      <w:szCs w:val="21"/>
                    </w:rPr>
                  </w:pPr>
                  <w:r>
                    <w:rPr>
                      <w:b/>
                      <w:bCs/>
                      <w:color w:val="000000"/>
                      <w:szCs w:val="21"/>
                    </w:rPr>
                    <w:t>核算排放浓</w:t>
                  </w:r>
                </w:p>
                <w:p>
                  <w:pPr>
                    <w:autoSpaceDE w:val="0"/>
                    <w:autoSpaceDN w:val="0"/>
                    <w:jc w:val="center"/>
                    <w:rPr>
                      <w:b/>
                      <w:bCs/>
                      <w:color w:val="000000"/>
                      <w:szCs w:val="21"/>
                    </w:rPr>
                  </w:pPr>
                  <w:r>
                    <w:rPr>
                      <w:b/>
                      <w:bCs/>
                      <w:color w:val="000000"/>
                      <w:szCs w:val="21"/>
                    </w:rPr>
                    <w:t>度（mg/m</w:t>
                  </w:r>
                  <w:r>
                    <w:rPr>
                      <w:b/>
                      <w:bCs/>
                      <w:color w:val="000000"/>
                      <w:szCs w:val="21"/>
                      <w:vertAlign w:val="superscript"/>
                    </w:rPr>
                    <w:t>3</w:t>
                  </w:r>
                  <w:r>
                    <w:rPr>
                      <w:b/>
                      <w:bCs/>
                      <w:color w:val="000000"/>
                      <w:szCs w:val="21"/>
                    </w:rPr>
                    <w:t>）</w:t>
                  </w:r>
                </w:p>
              </w:tc>
              <w:tc>
                <w:tcPr>
                  <w:tcW w:w="884" w:type="pct"/>
                  <w:vAlign w:val="center"/>
                </w:tcPr>
                <w:p>
                  <w:pPr>
                    <w:autoSpaceDE w:val="0"/>
                    <w:autoSpaceDN w:val="0"/>
                    <w:jc w:val="center"/>
                    <w:rPr>
                      <w:b/>
                      <w:bCs/>
                      <w:color w:val="000000"/>
                      <w:szCs w:val="21"/>
                    </w:rPr>
                  </w:pPr>
                  <w:r>
                    <w:rPr>
                      <w:b/>
                      <w:bCs/>
                      <w:color w:val="000000"/>
                      <w:szCs w:val="21"/>
                    </w:rPr>
                    <w:t>核算排放速率</w:t>
                  </w:r>
                </w:p>
                <w:p>
                  <w:pPr>
                    <w:autoSpaceDE w:val="0"/>
                    <w:autoSpaceDN w:val="0"/>
                    <w:jc w:val="center"/>
                    <w:rPr>
                      <w:b/>
                      <w:bCs/>
                      <w:color w:val="000000"/>
                      <w:szCs w:val="21"/>
                    </w:rPr>
                  </w:pPr>
                  <w:r>
                    <w:rPr>
                      <w:b/>
                      <w:bCs/>
                      <w:color w:val="000000"/>
                      <w:szCs w:val="21"/>
                    </w:rPr>
                    <w:t>（kg/h）</w:t>
                  </w:r>
                </w:p>
              </w:tc>
              <w:tc>
                <w:tcPr>
                  <w:tcW w:w="888" w:type="pct"/>
                  <w:vAlign w:val="center"/>
                </w:tcPr>
                <w:p>
                  <w:pPr>
                    <w:autoSpaceDE w:val="0"/>
                    <w:autoSpaceDN w:val="0"/>
                    <w:jc w:val="center"/>
                    <w:rPr>
                      <w:b/>
                      <w:bCs/>
                      <w:color w:val="000000"/>
                      <w:szCs w:val="21"/>
                    </w:rPr>
                  </w:pPr>
                  <w:r>
                    <w:rPr>
                      <w:b/>
                      <w:bCs/>
                      <w:color w:val="000000"/>
                      <w:szCs w:val="21"/>
                    </w:rPr>
                    <w:t>核算年排放量</w:t>
                  </w:r>
                </w:p>
                <w:p>
                  <w:pPr>
                    <w:autoSpaceDE w:val="0"/>
                    <w:autoSpaceDN w:val="0"/>
                    <w:jc w:val="center"/>
                    <w:rPr>
                      <w:b/>
                      <w:bCs/>
                      <w:color w:val="000000"/>
                      <w:szCs w:val="21"/>
                    </w:rPr>
                  </w:pPr>
                  <w:r>
                    <w:rPr>
                      <w:b/>
                      <w:bCs/>
                      <w:color w:val="000000"/>
                      <w:szCs w:val="21"/>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5000" w:type="pct"/>
                  <w:gridSpan w:val="6"/>
                  <w:vAlign w:val="center"/>
                </w:tcPr>
                <w:p>
                  <w:pPr>
                    <w:autoSpaceDE w:val="0"/>
                    <w:autoSpaceDN w:val="0"/>
                    <w:jc w:val="center"/>
                    <w:rPr>
                      <w:color w:val="000000"/>
                      <w:szCs w:val="21"/>
                    </w:rPr>
                  </w:pPr>
                  <w:r>
                    <w:rPr>
                      <w:color w:val="000000"/>
                      <w:szCs w:val="21"/>
                    </w:rPr>
                    <w:t>一般排放口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801" w:type="pct"/>
                  <w:vAlign w:val="center"/>
                </w:tcPr>
                <w:p>
                  <w:pPr>
                    <w:autoSpaceDE w:val="0"/>
                    <w:autoSpaceDN w:val="0"/>
                    <w:jc w:val="center"/>
                    <w:rPr>
                      <w:color w:val="000000"/>
                      <w:szCs w:val="21"/>
                    </w:rPr>
                  </w:pPr>
                  <w:r>
                    <w:rPr>
                      <w:color w:val="000000"/>
                      <w:szCs w:val="21"/>
                    </w:rPr>
                    <w:t>1</w:t>
                  </w:r>
                </w:p>
              </w:tc>
              <w:tc>
                <w:tcPr>
                  <w:tcW w:w="675" w:type="pct"/>
                  <w:vMerge w:val="restart"/>
                  <w:vAlign w:val="center"/>
                </w:tcPr>
                <w:p>
                  <w:pPr>
                    <w:autoSpaceDE w:val="0"/>
                    <w:autoSpaceDN w:val="0"/>
                    <w:jc w:val="center"/>
                    <w:rPr>
                      <w:color w:val="000000"/>
                      <w:szCs w:val="21"/>
                    </w:rPr>
                  </w:pPr>
                  <w:r>
                    <w:rPr>
                      <w:rFonts w:hint="eastAsia"/>
                      <w:color w:val="000000"/>
                      <w:szCs w:val="21"/>
                    </w:rPr>
                    <w:t>DA001</w:t>
                  </w:r>
                </w:p>
              </w:tc>
              <w:tc>
                <w:tcPr>
                  <w:tcW w:w="867" w:type="pct"/>
                  <w:vMerge w:val="restart"/>
                  <w:vAlign w:val="center"/>
                </w:tcPr>
                <w:p>
                  <w:pPr>
                    <w:autoSpaceDE w:val="0"/>
                    <w:autoSpaceDN w:val="0"/>
                    <w:jc w:val="center"/>
                    <w:rPr>
                      <w:color w:val="000000"/>
                      <w:szCs w:val="21"/>
                    </w:rPr>
                  </w:pPr>
                  <w:r>
                    <w:rPr>
                      <w:color w:val="000000"/>
                      <w:szCs w:val="21"/>
                    </w:rPr>
                    <w:t>非甲烷总烃</w:t>
                  </w:r>
                </w:p>
              </w:tc>
              <w:tc>
                <w:tcPr>
                  <w:tcW w:w="883" w:type="pct"/>
                  <w:vAlign w:val="center"/>
                </w:tcPr>
                <w:p>
                  <w:pPr>
                    <w:tabs>
                      <w:tab w:val="left" w:pos="0"/>
                    </w:tabs>
                    <w:adjustRightInd w:val="0"/>
                    <w:snapToGrid w:val="0"/>
                    <w:jc w:val="center"/>
                    <w:textAlignment w:val="baseline"/>
                    <w:rPr>
                      <w:color w:val="000000"/>
                      <w:szCs w:val="21"/>
                    </w:rPr>
                  </w:pPr>
                  <w:r>
                    <w:rPr>
                      <w:rFonts w:hint="eastAsia"/>
                      <w:bCs/>
                      <w:color w:val="000000"/>
                      <w:spacing w:val="4"/>
                      <w:szCs w:val="21"/>
                      <w:lang w:bidi="ar"/>
                    </w:rPr>
                    <w:t>0.684</w:t>
                  </w:r>
                </w:p>
              </w:tc>
              <w:tc>
                <w:tcPr>
                  <w:tcW w:w="884" w:type="pct"/>
                  <w:vAlign w:val="center"/>
                </w:tcPr>
                <w:p>
                  <w:pPr>
                    <w:tabs>
                      <w:tab w:val="left" w:pos="0"/>
                    </w:tabs>
                    <w:adjustRightInd w:val="0"/>
                    <w:snapToGrid w:val="0"/>
                    <w:jc w:val="center"/>
                    <w:textAlignment w:val="baseline"/>
                    <w:rPr>
                      <w:color w:val="000000"/>
                      <w:szCs w:val="21"/>
                    </w:rPr>
                  </w:pPr>
                  <w:r>
                    <w:rPr>
                      <w:bCs/>
                      <w:color w:val="000000"/>
                      <w:spacing w:val="4"/>
                      <w:szCs w:val="21"/>
                      <w:lang w:bidi="ar"/>
                    </w:rPr>
                    <w:t>0.0</w:t>
                  </w:r>
                  <w:r>
                    <w:rPr>
                      <w:rFonts w:hint="eastAsia"/>
                      <w:bCs/>
                      <w:color w:val="000000"/>
                      <w:spacing w:val="4"/>
                      <w:szCs w:val="21"/>
                      <w:lang w:bidi="ar"/>
                    </w:rPr>
                    <w:t>7</w:t>
                  </w:r>
                </w:p>
              </w:tc>
              <w:tc>
                <w:tcPr>
                  <w:tcW w:w="888" w:type="pct"/>
                  <w:vAlign w:val="center"/>
                </w:tcPr>
                <w:p>
                  <w:pPr>
                    <w:tabs>
                      <w:tab w:val="left" w:pos="0"/>
                    </w:tabs>
                    <w:adjustRightInd w:val="0"/>
                    <w:snapToGrid w:val="0"/>
                    <w:jc w:val="center"/>
                    <w:textAlignment w:val="baseline"/>
                    <w:rPr>
                      <w:color w:val="000000"/>
                      <w:szCs w:val="21"/>
                    </w:rPr>
                  </w:pPr>
                  <w:r>
                    <w:rPr>
                      <w:rFonts w:hint="eastAsia"/>
                      <w:bCs/>
                      <w:color w:val="000000"/>
                      <w:spacing w:val="4"/>
                      <w:szCs w:val="21"/>
                      <w:lang w:bidi="ar"/>
                    </w:rPr>
                    <w:t>0.021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801" w:type="pct"/>
                  <w:vAlign w:val="center"/>
                </w:tcPr>
                <w:p>
                  <w:pPr>
                    <w:autoSpaceDE w:val="0"/>
                    <w:autoSpaceDN w:val="0"/>
                    <w:jc w:val="center"/>
                    <w:rPr>
                      <w:color w:val="000000"/>
                      <w:szCs w:val="21"/>
                    </w:rPr>
                  </w:pPr>
                  <w:r>
                    <w:rPr>
                      <w:rFonts w:hint="eastAsia"/>
                      <w:color w:val="000000"/>
                      <w:szCs w:val="21"/>
                    </w:rPr>
                    <w:t>2</w:t>
                  </w:r>
                </w:p>
              </w:tc>
              <w:tc>
                <w:tcPr>
                  <w:tcW w:w="675" w:type="pct"/>
                  <w:vMerge w:val="continue"/>
                  <w:vAlign w:val="center"/>
                </w:tcPr>
                <w:p>
                  <w:pPr>
                    <w:autoSpaceDE w:val="0"/>
                    <w:autoSpaceDN w:val="0"/>
                    <w:jc w:val="center"/>
                    <w:rPr>
                      <w:color w:val="000000"/>
                      <w:szCs w:val="21"/>
                    </w:rPr>
                  </w:pPr>
                </w:p>
              </w:tc>
              <w:tc>
                <w:tcPr>
                  <w:tcW w:w="867" w:type="pct"/>
                  <w:vMerge w:val="continue"/>
                  <w:vAlign w:val="center"/>
                </w:tcPr>
                <w:p>
                  <w:pPr>
                    <w:autoSpaceDE w:val="0"/>
                    <w:autoSpaceDN w:val="0"/>
                    <w:jc w:val="center"/>
                    <w:rPr>
                      <w:color w:val="000000"/>
                      <w:szCs w:val="21"/>
                    </w:rPr>
                  </w:pPr>
                </w:p>
              </w:tc>
              <w:tc>
                <w:tcPr>
                  <w:tcW w:w="883" w:type="pct"/>
                  <w:vAlign w:val="center"/>
                </w:tcPr>
                <w:p>
                  <w:pPr>
                    <w:tabs>
                      <w:tab w:val="left" w:pos="0"/>
                    </w:tabs>
                    <w:adjustRightInd w:val="0"/>
                    <w:snapToGrid w:val="0"/>
                    <w:jc w:val="center"/>
                    <w:textAlignment w:val="baseline"/>
                    <w:rPr>
                      <w:color w:val="000000"/>
                      <w:szCs w:val="21"/>
                    </w:rPr>
                  </w:pPr>
                  <w:r>
                    <w:rPr>
                      <w:rFonts w:hint="eastAsia"/>
                      <w:bCs/>
                      <w:color w:val="000000"/>
                      <w:spacing w:val="4"/>
                      <w:szCs w:val="21"/>
                      <w:lang w:bidi="ar"/>
                    </w:rPr>
                    <w:t>0.2</w:t>
                  </w:r>
                </w:p>
              </w:tc>
              <w:tc>
                <w:tcPr>
                  <w:tcW w:w="884" w:type="pct"/>
                  <w:vAlign w:val="center"/>
                </w:tcPr>
                <w:p>
                  <w:pPr>
                    <w:tabs>
                      <w:tab w:val="left" w:pos="0"/>
                    </w:tabs>
                    <w:adjustRightInd w:val="0"/>
                    <w:snapToGrid w:val="0"/>
                    <w:jc w:val="center"/>
                    <w:textAlignment w:val="baseline"/>
                    <w:rPr>
                      <w:bCs/>
                      <w:color w:val="000000"/>
                      <w:spacing w:val="4"/>
                      <w:szCs w:val="22"/>
                      <w:lang w:bidi="ar"/>
                    </w:rPr>
                  </w:pPr>
                  <w:r>
                    <w:rPr>
                      <w:rFonts w:hint="eastAsia"/>
                      <w:bCs/>
                      <w:color w:val="000000"/>
                      <w:spacing w:val="4"/>
                      <w:szCs w:val="21"/>
                      <w:lang w:bidi="ar"/>
                    </w:rPr>
                    <w:t>0.002</w:t>
                  </w:r>
                </w:p>
              </w:tc>
              <w:tc>
                <w:tcPr>
                  <w:tcW w:w="888" w:type="pct"/>
                  <w:vAlign w:val="center"/>
                </w:tcPr>
                <w:p>
                  <w:pPr>
                    <w:tabs>
                      <w:tab w:val="left" w:pos="0"/>
                    </w:tabs>
                    <w:adjustRightInd w:val="0"/>
                    <w:snapToGrid w:val="0"/>
                    <w:jc w:val="center"/>
                    <w:textAlignment w:val="baseline"/>
                    <w:rPr>
                      <w:bCs/>
                      <w:color w:val="000000"/>
                      <w:spacing w:val="4"/>
                      <w:szCs w:val="22"/>
                      <w:lang w:bidi="ar"/>
                    </w:rPr>
                  </w:pPr>
                  <w:r>
                    <w:rPr>
                      <w:rFonts w:hint="eastAsia"/>
                      <w:bCs/>
                      <w:color w:val="000000"/>
                      <w:spacing w:val="4"/>
                      <w:szCs w:val="21"/>
                      <w:lang w:bidi="ar"/>
                    </w:rPr>
                    <w:t>0.0144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801" w:type="pct"/>
                  <w:vAlign w:val="center"/>
                </w:tcPr>
                <w:p>
                  <w:pPr>
                    <w:autoSpaceDE w:val="0"/>
                    <w:autoSpaceDN w:val="0"/>
                    <w:jc w:val="center"/>
                    <w:rPr>
                      <w:color w:val="000000"/>
                      <w:szCs w:val="21"/>
                    </w:rPr>
                  </w:pPr>
                  <w:r>
                    <w:rPr>
                      <w:rFonts w:hint="eastAsia"/>
                      <w:color w:val="000000"/>
                      <w:szCs w:val="21"/>
                    </w:rPr>
                    <w:t>3</w:t>
                  </w:r>
                </w:p>
              </w:tc>
              <w:tc>
                <w:tcPr>
                  <w:tcW w:w="675" w:type="pct"/>
                  <w:vAlign w:val="center"/>
                </w:tcPr>
                <w:p>
                  <w:pPr>
                    <w:autoSpaceDE w:val="0"/>
                    <w:autoSpaceDN w:val="0"/>
                    <w:jc w:val="center"/>
                    <w:rPr>
                      <w:color w:val="000000"/>
                      <w:szCs w:val="21"/>
                    </w:rPr>
                  </w:pPr>
                  <w:r>
                    <w:rPr>
                      <w:rFonts w:hint="eastAsia"/>
                      <w:color w:val="000000"/>
                      <w:szCs w:val="21"/>
                    </w:rPr>
                    <w:t>DA002</w:t>
                  </w:r>
                </w:p>
              </w:tc>
              <w:tc>
                <w:tcPr>
                  <w:tcW w:w="867" w:type="pct"/>
                  <w:vAlign w:val="center"/>
                </w:tcPr>
                <w:p>
                  <w:pPr>
                    <w:autoSpaceDE w:val="0"/>
                    <w:autoSpaceDN w:val="0"/>
                    <w:jc w:val="center"/>
                    <w:rPr>
                      <w:color w:val="000000"/>
                      <w:szCs w:val="21"/>
                    </w:rPr>
                  </w:pPr>
                  <w:r>
                    <w:rPr>
                      <w:color w:val="000000"/>
                      <w:szCs w:val="21"/>
                    </w:rPr>
                    <w:t>非甲烷总烃</w:t>
                  </w:r>
                </w:p>
              </w:tc>
              <w:tc>
                <w:tcPr>
                  <w:tcW w:w="883" w:type="pct"/>
                  <w:vAlign w:val="center"/>
                </w:tcPr>
                <w:p>
                  <w:pPr>
                    <w:tabs>
                      <w:tab w:val="left" w:pos="0"/>
                    </w:tabs>
                    <w:adjustRightInd w:val="0"/>
                    <w:snapToGrid w:val="0"/>
                    <w:jc w:val="center"/>
                    <w:textAlignment w:val="baseline"/>
                    <w:rPr>
                      <w:bCs/>
                      <w:color w:val="000000"/>
                      <w:spacing w:val="4"/>
                      <w:szCs w:val="22"/>
                      <w:lang w:bidi="ar"/>
                    </w:rPr>
                  </w:pPr>
                  <w:r>
                    <w:rPr>
                      <w:rFonts w:hint="eastAsia"/>
                      <w:bCs/>
                      <w:color w:val="000000"/>
                      <w:spacing w:val="4"/>
                      <w:szCs w:val="21"/>
                      <w:lang w:val="en-US" w:eastAsia="zh-CN" w:bidi="ar"/>
                    </w:rPr>
                    <w:t>0.76</w:t>
                  </w:r>
                </w:p>
              </w:tc>
              <w:tc>
                <w:tcPr>
                  <w:tcW w:w="884" w:type="pct"/>
                  <w:vAlign w:val="center"/>
                </w:tcPr>
                <w:p>
                  <w:pPr>
                    <w:tabs>
                      <w:tab w:val="left" w:pos="0"/>
                    </w:tabs>
                    <w:adjustRightInd w:val="0"/>
                    <w:snapToGrid w:val="0"/>
                    <w:jc w:val="center"/>
                    <w:textAlignment w:val="baseline"/>
                    <w:rPr>
                      <w:bCs/>
                      <w:color w:val="000000"/>
                      <w:spacing w:val="4"/>
                      <w:szCs w:val="22"/>
                    </w:rPr>
                  </w:pPr>
                  <w:r>
                    <w:rPr>
                      <w:rFonts w:hint="eastAsia"/>
                      <w:bCs/>
                      <w:color w:val="000000"/>
                      <w:spacing w:val="4"/>
                      <w:szCs w:val="21"/>
                    </w:rPr>
                    <w:t>0.0</w:t>
                  </w:r>
                  <w:r>
                    <w:rPr>
                      <w:rFonts w:hint="eastAsia"/>
                      <w:bCs/>
                      <w:color w:val="000000"/>
                      <w:spacing w:val="4"/>
                      <w:szCs w:val="21"/>
                      <w:lang w:val="en-US" w:eastAsia="zh-CN"/>
                    </w:rPr>
                    <w:t>114</w:t>
                  </w:r>
                </w:p>
              </w:tc>
              <w:tc>
                <w:tcPr>
                  <w:tcW w:w="888" w:type="pct"/>
                  <w:vAlign w:val="center"/>
                </w:tcPr>
                <w:p>
                  <w:pPr>
                    <w:tabs>
                      <w:tab w:val="left" w:pos="0"/>
                    </w:tabs>
                    <w:adjustRightInd w:val="0"/>
                    <w:snapToGrid w:val="0"/>
                    <w:jc w:val="center"/>
                    <w:textAlignment w:val="baseline"/>
                    <w:rPr>
                      <w:bCs/>
                      <w:color w:val="000000"/>
                      <w:spacing w:val="4"/>
                      <w:szCs w:val="22"/>
                    </w:rPr>
                  </w:pPr>
                  <w:r>
                    <w:rPr>
                      <w:rFonts w:hint="eastAsia"/>
                      <w:bCs/>
                      <w:color w:val="000000"/>
                      <w:spacing w:val="4"/>
                      <w:szCs w:val="21"/>
                      <w:lang w:val="en-US" w:eastAsia="zh-CN"/>
                    </w:rPr>
                    <w:t>0.0823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801" w:type="pct"/>
                  <w:vAlign w:val="center"/>
                </w:tcPr>
                <w:p>
                  <w:pPr>
                    <w:autoSpaceDE w:val="0"/>
                    <w:autoSpaceDN w:val="0"/>
                    <w:jc w:val="center"/>
                    <w:rPr>
                      <w:color w:val="000000"/>
                      <w:szCs w:val="21"/>
                    </w:rPr>
                  </w:pPr>
                  <w:r>
                    <w:rPr>
                      <w:color w:val="000000"/>
                      <w:szCs w:val="21"/>
                    </w:rPr>
                    <w:t>总计</w:t>
                  </w:r>
                </w:p>
              </w:tc>
              <w:tc>
                <w:tcPr>
                  <w:tcW w:w="3310" w:type="pct"/>
                  <w:gridSpan w:val="4"/>
                  <w:vAlign w:val="center"/>
                </w:tcPr>
                <w:p>
                  <w:pPr>
                    <w:autoSpaceDE w:val="0"/>
                    <w:autoSpaceDN w:val="0"/>
                    <w:jc w:val="center"/>
                    <w:rPr>
                      <w:color w:val="000000"/>
                      <w:szCs w:val="21"/>
                    </w:rPr>
                  </w:pPr>
                  <w:r>
                    <w:rPr>
                      <w:color w:val="000000"/>
                      <w:szCs w:val="21"/>
                    </w:rPr>
                    <w:t>非甲烷总烃</w:t>
                  </w:r>
                </w:p>
              </w:tc>
              <w:tc>
                <w:tcPr>
                  <w:tcW w:w="888" w:type="pct"/>
                  <w:vAlign w:val="center"/>
                </w:tcPr>
                <w:p>
                  <w:pPr>
                    <w:tabs>
                      <w:tab w:val="left" w:pos="0"/>
                    </w:tabs>
                    <w:adjustRightInd w:val="0"/>
                    <w:snapToGrid w:val="0"/>
                    <w:jc w:val="center"/>
                    <w:textAlignment w:val="baseline"/>
                    <w:rPr>
                      <w:rFonts w:hint="default" w:eastAsia="宋体"/>
                      <w:color w:val="000000"/>
                      <w:szCs w:val="21"/>
                      <w:lang w:val="en-US" w:eastAsia="zh-CN"/>
                    </w:rPr>
                  </w:pPr>
                  <w:r>
                    <w:rPr>
                      <w:rFonts w:hint="eastAsia"/>
                      <w:color w:val="000000"/>
                      <w:szCs w:val="21"/>
                      <w:lang w:val="en-US" w:eastAsia="zh-CN"/>
                    </w:rPr>
                    <w:t>0.1177</w:t>
                  </w:r>
                </w:p>
              </w:tc>
            </w:tr>
          </w:tbl>
          <w:p>
            <w:pPr>
              <w:tabs>
                <w:tab w:val="left" w:pos="0"/>
              </w:tabs>
              <w:spacing w:line="360" w:lineRule="auto"/>
              <w:ind w:firstLine="480" w:firstLineChars="200"/>
              <w:rPr>
                <w:color w:val="000000"/>
                <w:sz w:val="24"/>
              </w:rPr>
            </w:pPr>
            <w:r>
              <w:rPr>
                <w:color w:val="000000"/>
                <w:sz w:val="24"/>
              </w:rPr>
              <w:t>（4）卫生防护距离计算</w:t>
            </w:r>
          </w:p>
          <w:p>
            <w:pPr>
              <w:spacing w:line="360" w:lineRule="auto"/>
              <w:ind w:left="1" w:firstLine="547" w:firstLineChars="228"/>
              <w:rPr>
                <w:color w:val="000000"/>
                <w:sz w:val="24"/>
              </w:rPr>
            </w:pPr>
            <w:r>
              <w:rPr>
                <w:rFonts w:hint="eastAsia" w:hAnsi="宋体"/>
                <w:color w:val="000000"/>
                <w:sz w:val="24"/>
              </w:rPr>
              <w:t>本项目实施后，全厂无组织废气排放源为</w:t>
            </w:r>
            <w:r>
              <w:rPr>
                <w:rFonts w:hint="eastAsia" w:cs="Arial"/>
                <w:color w:val="000000"/>
                <w:sz w:val="24"/>
              </w:rPr>
              <w:t>生产车间。</w:t>
            </w:r>
            <w:r>
              <w:rPr>
                <w:rFonts w:hint="eastAsia" w:hAnsi="宋体"/>
                <w:color w:val="000000"/>
                <w:sz w:val="24"/>
              </w:rPr>
              <w:t>因此，需要在废气无组织排放单元周围设置卫生防护距离。</w:t>
            </w:r>
            <w:r>
              <w:rPr>
                <w:color w:val="000000"/>
                <w:sz w:val="24"/>
              </w:rPr>
              <w:t>无组织排放根据</w:t>
            </w:r>
            <w:r>
              <w:rPr>
                <w:rFonts w:hint="eastAsia"/>
                <w:color w:val="000000"/>
                <w:sz w:val="24"/>
              </w:rPr>
              <w:t>《大气有害物质无组织排放卫生防护距离推导技术导则》（GB/T39499-2020）</w:t>
            </w:r>
            <w:r>
              <w:rPr>
                <w:color w:val="000000"/>
                <w:sz w:val="24"/>
              </w:rPr>
              <w:t>规定，无组织排放有害气体的生产单元(生产区、车间或工段)与居住区之间应设置卫生防护距离，计算公式如下：</w:t>
            </w:r>
          </w:p>
          <w:p>
            <w:pPr>
              <w:adjustRightInd w:val="0"/>
              <w:snapToGrid w:val="0"/>
              <w:spacing w:after="240" w:line="360" w:lineRule="auto"/>
              <w:ind w:firstLine="2303" w:firstLineChars="1097"/>
              <w:jc w:val="left"/>
              <w:rPr>
                <w:color w:val="000000"/>
                <w:szCs w:val="20"/>
              </w:rPr>
            </w:pPr>
            <w:r>
              <w:rPr>
                <w:color w:val="000000"/>
                <w:szCs w:val="20"/>
              </w:rPr>
              <w:drawing>
                <wp:inline distT="0" distB="0" distL="114300" distR="114300">
                  <wp:extent cx="1819275" cy="447675"/>
                  <wp:effectExtent l="0" t="0" r="0" b="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9"/>
                          <a:stretch>
                            <a:fillRect/>
                          </a:stretch>
                        </pic:blipFill>
                        <pic:spPr>
                          <a:xfrm>
                            <a:off x="0" y="0"/>
                            <a:ext cx="1819275" cy="447675"/>
                          </a:xfrm>
                          <a:prstGeom prst="rect">
                            <a:avLst/>
                          </a:prstGeom>
                          <a:noFill/>
                          <a:ln>
                            <a:noFill/>
                          </a:ln>
                        </pic:spPr>
                      </pic:pic>
                    </a:graphicData>
                  </a:graphic>
                </wp:inline>
              </w:drawing>
            </w:r>
          </w:p>
          <w:p>
            <w:pPr>
              <w:tabs>
                <w:tab w:val="left" w:pos="0"/>
              </w:tabs>
              <w:spacing w:line="360" w:lineRule="auto"/>
              <w:ind w:firstLine="480" w:firstLineChars="200"/>
              <w:jc w:val="left"/>
              <w:rPr>
                <w:color w:val="000000"/>
                <w:sz w:val="24"/>
              </w:rPr>
            </w:pPr>
            <w:r>
              <w:rPr>
                <w:color w:val="000000"/>
                <w:sz w:val="24"/>
              </w:rPr>
              <w:t>式中Cm为环境一次浓度标准限值(mg/m</w:t>
            </w:r>
            <w:r>
              <w:rPr>
                <w:color w:val="000000"/>
                <w:sz w:val="24"/>
                <w:vertAlign w:val="superscript"/>
              </w:rPr>
              <w:t>3</w:t>
            </w:r>
            <w:r>
              <w:rPr>
                <w:color w:val="000000"/>
                <w:sz w:val="24"/>
              </w:rPr>
              <w:t>)，Qc为有害气体无组织排放量可以达到的控制水平(kg/h)，r为有害气体无组织排放源所在生产单元的等效半径(m)，L为工业企业所需的卫生防护距离(m)，A、B、C、D为计算系数，在标准</w:t>
            </w:r>
            <w:r>
              <w:rPr>
                <w:rFonts w:hint="eastAsia"/>
                <w:color w:val="000000"/>
                <w:sz w:val="24"/>
              </w:rPr>
              <w:t>GB/T39499-2020</w:t>
            </w:r>
            <w:r>
              <w:rPr>
                <w:color w:val="000000"/>
                <w:sz w:val="24"/>
              </w:rPr>
              <w:t>中选取。测算结果列于下表</w:t>
            </w:r>
            <w:r>
              <w:rPr>
                <w:rFonts w:hint="eastAsia"/>
                <w:color w:val="000000"/>
                <w:sz w:val="24"/>
              </w:rPr>
              <w:t>4-7</w:t>
            </w:r>
            <w:r>
              <w:rPr>
                <w:color w:val="000000"/>
                <w:sz w:val="24"/>
              </w:rPr>
              <w:t>：</w:t>
            </w:r>
          </w:p>
          <w:p>
            <w:pPr>
              <w:adjustRightInd w:val="0"/>
              <w:snapToGrid w:val="0"/>
              <w:spacing w:line="324" w:lineRule="auto"/>
              <w:ind w:firstLine="482" w:firstLineChars="200"/>
              <w:jc w:val="center"/>
              <w:rPr>
                <w:b/>
                <w:bCs/>
                <w:color w:val="000000"/>
                <w:szCs w:val="20"/>
              </w:rPr>
            </w:pPr>
            <w:r>
              <w:rPr>
                <w:b/>
                <w:bCs/>
                <w:color w:val="000000"/>
                <w:sz w:val="24"/>
                <w:szCs w:val="22"/>
              </w:rPr>
              <w:t>表</w:t>
            </w:r>
            <w:r>
              <w:rPr>
                <w:rFonts w:hint="eastAsia"/>
                <w:b/>
                <w:bCs/>
                <w:color w:val="000000"/>
                <w:sz w:val="24"/>
                <w:szCs w:val="22"/>
              </w:rPr>
              <w:t>4-7</w:t>
            </w:r>
            <w:r>
              <w:rPr>
                <w:b/>
                <w:bCs/>
                <w:color w:val="000000"/>
                <w:sz w:val="24"/>
                <w:szCs w:val="22"/>
              </w:rPr>
              <w:t>无组织废气排放卫生防护距离</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24"/>
              <w:gridCol w:w="1555"/>
              <w:gridCol w:w="856"/>
              <w:gridCol w:w="948"/>
              <w:gridCol w:w="792"/>
              <w:gridCol w:w="810"/>
              <w:gridCol w:w="918"/>
              <w:gridCol w:w="15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4" w:type="pct"/>
                  <w:vAlign w:val="center"/>
                </w:tcPr>
                <w:p>
                  <w:pPr>
                    <w:tabs>
                      <w:tab w:val="left" w:pos="993"/>
                      <w:tab w:val="left" w:pos="1276"/>
                      <w:tab w:val="left" w:pos="3780"/>
                    </w:tabs>
                    <w:adjustRightInd w:val="0"/>
                    <w:snapToGrid w:val="0"/>
                    <w:jc w:val="center"/>
                    <w:rPr>
                      <w:color w:val="000000"/>
                      <w:szCs w:val="21"/>
                    </w:rPr>
                  </w:pPr>
                  <w:r>
                    <w:rPr>
                      <w:color w:val="000000"/>
                      <w:szCs w:val="21"/>
                    </w:rPr>
                    <w:t>污染物名称</w:t>
                  </w:r>
                </w:p>
              </w:tc>
              <w:tc>
                <w:tcPr>
                  <w:tcW w:w="856" w:type="pct"/>
                  <w:vAlign w:val="center"/>
                </w:tcPr>
                <w:p>
                  <w:pPr>
                    <w:tabs>
                      <w:tab w:val="left" w:pos="993"/>
                      <w:tab w:val="left" w:pos="1276"/>
                      <w:tab w:val="left" w:pos="3780"/>
                    </w:tabs>
                    <w:adjustRightInd w:val="0"/>
                    <w:snapToGrid w:val="0"/>
                    <w:jc w:val="center"/>
                    <w:rPr>
                      <w:color w:val="000000"/>
                      <w:szCs w:val="21"/>
                    </w:rPr>
                  </w:pPr>
                  <w:r>
                    <w:rPr>
                      <w:color w:val="000000"/>
                      <w:szCs w:val="21"/>
                    </w:rPr>
                    <w:t>污染源位置</w:t>
                  </w:r>
                </w:p>
              </w:tc>
              <w:tc>
                <w:tcPr>
                  <w:tcW w:w="471"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A</w:t>
                  </w:r>
                </w:p>
              </w:tc>
              <w:tc>
                <w:tcPr>
                  <w:tcW w:w="522"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B</w:t>
                  </w:r>
                </w:p>
              </w:tc>
              <w:tc>
                <w:tcPr>
                  <w:tcW w:w="436"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C</w:t>
                  </w:r>
                </w:p>
              </w:tc>
              <w:tc>
                <w:tcPr>
                  <w:tcW w:w="446"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D</w:t>
                  </w:r>
                </w:p>
              </w:tc>
              <w:tc>
                <w:tcPr>
                  <w:tcW w:w="505" w:type="pct"/>
                  <w:vAlign w:val="center"/>
                </w:tcPr>
                <w:p>
                  <w:pPr>
                    <w:tabs>
                      <w:tab w:val="left" w:pos="993"/>
                      <w:tab w:val="left" w:pos="1276"/>
                      <w:tab w:val="left" w:pos="3780"/>
                    </w:tabs>
                    <w:adjustRightInd w:val="0"/>
                    <w:snapToGrid w:val="0"/>
                    <w:jc w:val="center"/>
                    <w:rPr>
                      <w:rFonts w:hAnsi="宋体"/>
                      <w:color w:val="000000"/>
                      <w:szCs w:val="21"/>
                    </w:rPr>
                  </w:pPr>
                  <w:r>
                    <w:rPr>
                      <w:color w:val="000000"/>
                      <w:szCs w:val="21"/>
                    </w:rPr>
                    <w:t>C</w:t>
                  </w:r>
                  <w:r>
                    <w:rPr>
                      <w:color w:val="000000"/>
                      <w:szCs w:val="21"/>
                      <w:vertAlign w:val="subscript"/>
                    </w:rPr>
                    <w:t>m</w:t>
                  </w:r>
                </w:p>
              </w:tc>
              <w:tc>
                <w:tcPr>
                  <w:tcW w:w="867" w:type="pct"/>
                  <w:vAlign w:val="center"/>
                </w:tcPr>
                <w:p>
                  <w:pPr>
                    <w:tabs>
                      <w:tab w:val="left" w:pos="993"/>
                      <w:tab w:val="left" w:pos="1276"/>
                      <w:tab w:val="left" w:pos="3780"/>
                    </w:tabs>
                    <w:adjustRightInd w:val="0"/>
                    <w:snapToGrid w:val="0"/>
                    <w:jc w:val="center"/>
                    <w:rPr>
                      <w:color w:val="000000"/>
                      <w:szCs w:val="21"/>
                    </w:rPr>
                  </w:pPr>
                  <w:r>
                    <w:rPr>
                      <w:rFonts w:hint="eastAsia" w:hAnsi="宋体"/>
                      <w:color w:val="000000"/>
                      <w:szCs w:val="21"/>
                    </w:rPr>
                    <w:t>卫生防护距离计算值m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4" w:type="pct"/>
                  <w:vAlign w:val="center"/>
                </w:tcPr>
                <w:p>
                  <w:pPr>
                    <w:jc w:val="center"/>
                    <w:rPr>
                      <w:color w:val="000000"/>
                      <w:szCs w:val="21"/>
                    </w:rPr>
                  </w:pPr>
                  <w:r>
                    <w:rPr>
                      <w:rFonts w:hint="eastAsia"/>
                      <w:color w:val="000000"/>
                      <w:szCs w:val="21"/>
                    </w:rPr>
                    <w:t>非甲烷总烃</w:t>
                  </w:r>
                </w:p>
              </w:tc>
              <w:tc>
                <w:tcPr>
                  <w:tcW w:w="856" w:type="pct"/>
                  <w:vAlign w:val="center"/>
                </w:tcPr>
                <w:p>
                  <w:pPr>
                    <w:jc w:val="center"/>
                    <w:rPr>
                      <w:color w:val="000000"/>
                      <w:szCs w:val="21"/>
                    </w:rPr>
                  </w:pPr>
                  <w:r>
                    <w:rPr>
                      <w:rFonts w:hint="eastAsia"/>
                      <w:color w:val="000000"/>
                      <w:szCs w:val="21"/>
                    </w:rPr>
                    <w:t>车间</w:t>
                  </w:r>
                </w:p>
              </w:tc>
              <w:tc>
                <w:tcPr>
                  <w:tcW w:w="471"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470</w:t>
                  </w:r>
                </w:p>
              </w:tc>
              <w:tc>
                <w:tcPr>
                  <w:tcW w:w="522"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0.021</w:t>
                  </w:r>
                </w:p>
              </w:tc>
              <w:tc>
                <w:tcPr>
                  <w:tcW w:w="436"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1.85</w:t>
                  </w:r>
                </w:p>
              </w:tc>
              <w:tc>
                <w:tcPr>
                  <w:tcW w:w="446"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0.84</w:t>
                  </w:r>
                </w:p>
              </w:tc>
              <w:tc>
                <w:tcPr>
                  <w:tcW w:w="505"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1</w:t>
                  </w:r>
                </w:p>
              </w:tc>
              <w:tc>
                <w:tcPr>
                  <w:tcW w:w="867" w:type="pct"/>
                  <w:vAlign w:val="center"/>
                </w:tcPr>
                <w:p>
                  <w:pPr>
                    <w:tabs>
                      <w:tab w:val="left" w:pos="993"/>
                      <w:tab w:val="left" w:pos="1276"/>
                      <w:tab w:val="left" w:pos="3780"/>
                    </w:tabs>
                    <w:adjustRightInd w:val="0"/>
                    <w:snapToGrid w:val="0"/>
                    <w:jc w:val="center"/>
                    <w:rPr>
                      <w:color w:val="000000"/>
                      <w:szCs w:val="21"/>
                    </w:rPr>
                  </w:pPr>
                  <w:r>
                    <w:rPr>
                      <w:rFonts w:hint="eastAsia"/>
                      <w:color w:val="000000"/>
                      <w:szCs w:val="21"/>
                    </w:rPr>
                    <w:t>13.2178</w:t>
                  </w:r>
                </w:p>
              </w:tc>
            </w:tr>
          </w:tbl>
          <w:p>
            <w:pPr>
              <w:tabs>
                <w:tab w:val="left" w:pos="0"/>
              </w:tabs>
              <w:spacing w:line="360" w:lineRule="auto"/>
              <w:ind w:firstLine="480" w:firstLineChars="200"/>
              <w:jc w:val="left"/>
              <w:rPr>
                <w:color w:val="000000"/>
                <w:sz w:val="24"/>
              </w:rPr>
            </w:pPr>
            <w:r>
              <w:rPr>
                <w:rFonts w:hint="eastAsia"/>
                <w:color w:val="000000"/>
                <w:sz w:val="24"/>
              </w:rPr>
              <w:t>根据公式计算，本项目需以车间为边界设置50m卫生防护距离，考虑非甲烷总烃不为单因子污染物，根据《大气有害物质无组织排放卫生防护距离推导技术导则》（GB/T39499-2020），卫生防护距离在100m以内时，级差为50m，当按两种或两种以上有害气体计算的卫生防护距离在同一级别时，本项目卫生防护距离提高一级，故本项以车间边边界设置100m卫生防护距离。目前项目卫生防护距离内无居住等敏感保护目标。卫生防护距离内不得新建居住区、医院、学校等生活环境敏感点</w:t>
            </w:r>
            <w:r>
              <w:rPr>
                <w:color w:val="000000"/>
                <w:sz w:val="24"/>
              </w:rPr>
              <w:t>。</w:t>
            </w:r>
          </w:p>
          <w:p>
            <w:pPr>
              <w:tabs>
                <w:tab w:val="left" w:pos="0"/>
              </w:tabs>
              <w:spacing w:line="360" w:lineRule="auto"/>
              <w:jc w:val="left"/>
              <w:rPr>
                <w:color w:val="000000"/>
              </w:rPr>
            </w:pPr>
            <w:r>
              <w:rPr>
                <w:b/>
                <w:color w:val="000000"/>
                <w:sz w:val="24"/>
              </w:rPr>
              <w:t>4.1.2废气处理设施设计方案</w:t>
            </w:r>
          </w:p>
          <w:p>
            <w:pPr>
              <w:spacing w:before="60"/>
              <w:jc w:val="center"/>
              <w:rPr>
                <w:b/>
                <w:color w:val="000000"/>
                <w:sz w:val="24"/>
              </w:rPr>
            </w:pPr>
            <w:r>
              <w:rPr>
                <w:b/>
                <w:color w:val="000000"/>
                <w:sz w:val="24"/>
              </w:rPr>
              <w:t>表4-</w:t>
            </w:r>
            <w:r>
              <w:rPr>
                <w:rFonts w:hint="eastAsia"/>
                <w:b/>
                <w:color w:val="000000"/>
                <w:sz w:val="24"/>
              </w:rPr>
              <w:t>8</w:t>
            </w:r>
            <w:r>
              <w:rPr>
                <w:b/>
                <w:color w:val="000000"/>
                <w:sz w:val="24"/>
              </w:rPr>
              <w:t xml:space="preserve">  活性炭吸附装置运行参数</w:t>
            </w:r>
          </w:p>
          <w:tbl>
            <w:tblPr>
              <w:tblStyle w:val="20"/>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05"/>
              <w:gridCol w:w="5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118" w:type="pct"/>
                  <w:vMerge w:val="restart"/>
                  <w:vAlign w:val="center"/>
                </w:tcPr>
                <w:p>
                  <w:pPr>
                    <w:pStyle w:val="58"/>
                    <w:rPr>
                      <w:b/>
                    </w:rPr>
                  </w:pPr>
                  <w:r>
                    <w:rPr>
                      <w:b/>
                    </w:rPr>
                    <w:t>项目</w:t>
                  </w:r>
                </w:p>
              </w:tc>
              <w:tc>
                <w:tcPr>
                  <w:tcW w:w="2881" w:type="pct"/>
                  <w:vAlign w:val="center"/>
                </w:tcPr>
                <w:p>
                  <w:pPr>
                    <w:pStyle w:val="58"/>
                    <w:rPr>
                      <w:b/>
                    </w:rPr>
                  </w:pPr>
                  <w:r>
                    <w:rPr>
                      <w:b/>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118" w:type="pct"/>
                  <w:vMerge w:val="continue"/>
                  <w:vAlign w:val="center"/>
                </w:tcPr>
                <w:p>
                  <w:pPr>
                    <w:pStyle w:val="58"/>
                  </w:pPr>
                </w:p>
              </w:tc>
              <w:tc>
                <w:tcPr>
                  <w:tcW w:w="2881" w:type="pct"/>
                  <w:vAlign w:val="center"/>
                </w:tcPr>
                <w:p>
                  <w:pPr>
                    <w:pStyle w:val="58"/>
                    <w:rPr>
                      <w:b/>
                    </w:rPr>
                  </w:pPr>
                  <w:r>
                    <w:rPr>
                      <w:bCs w:val="0"/>
                    </w:rPr>
                    <w:t>活性炭吸附装置</w:t>
                  </w:r>
                  <w:r>
                    <w:rPr>
                      <w:rFonts w:hint="eastAsia"/>
                      <w:bCs w:val="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118" w:type="pct"/>
                  <w:vAlign w:val="center"/>
                </w:tcPr>
                <w:p>
                  <w:pPr>
                    <w:pStyle w:val="58"/>
                    <w:rPr>
                      <w:szCs w:val="21"/>
                    </w:rPr>
                  </w:pPr>
                  <w:r>
                    <w:rPr>
                      <w:szCs w:val="21"/>
                    </w:rPr>
                    <w:t>数量</w:t>
                  </w:r>
                </w:p>
              </w:tc>
              <w:tc>
                <w:tcPr>
                  <w:tcW w:w="2881" w:type="pct"/>
                  <w:vAlign w:val="center"/>
                </w:tcPr>
                <w:p>
                  <w:pPr>
                    <w:pStyle w:val="58"/>
                    <w:rPr>
                      <w:szCs w:val="21"/>
                    </w:rPr>
                  </w:pPr>
                  <w:r>
                    <w:rPr>
                      <w:rFonts w:hint="eastAsia"/>
                      <w:szCs w:val="21"/>
                    </w:rPr>
                    <w:t>1</w:t>
                  </w:r>
                  <w:r>
                    <w:rPr>
                      <w:szCs w:val="21"/>
                    </w:rPr>
                    <w:t>台</w:t>
                  </w:r>
                </w:p>
              </w:tc>
            </w:tr>
            <w:tr>
              <w:tblPrEx>
                <w:tblCellMar>
                  <w:top w:w="0" w:type="dxa"/>
                  <w:left w:w="108" w:type="dxa"/>
                  <w:bottom w:w="0" w:type="dxa"/>
                  <w:right w:w="108" w:type="dxa"/>
                </w:tblCellMar>
              </w:tblPrEx>
              <w:trPr>
                <w:trHeight w:val="241" w:hRule="atLeast"/>
                <w:jc w:val="center"/>
              </w:trPr>
              <w:tc>
                <w:tcPr>
                  <w:tcW w:w="2118" w:type="pct"/>
                  <w:vAlign w:val="center"/>
                </w:tcPr>
                <w:p>
                  <w:pPr>
                    <w:pStyle w:val="58"/>
                    <w:rPr>
                      <w:szCs w:val="21"/>
                    </w:rPr>
                  </w:pPr>
                  <w:r>
                    <w:rPr>
                      <w:szCs w:val="21"/>
                    </w:rPr>
                    <w:t>活性炭吸附塔规格</w:t>
                  </w:r>
                </w:p>
              </w:tc>
              <w:tc>
                <w:tcPr>
                  <w:tcW w:w="2881" w:type="pct"/>
                  <w:vAlign w:val="center"/>
                </w:tcPr>
                <w:p>
                  <w:pPr>
                    <w:pStyle w:val="58"/>
                    <w:rPr>
                      <w:szCs w:val="21"/>
                    </w:rPr>
                  </w:pPr>
                  <w:r>
                    <w:rPr>
                      <w:szCs w:val="21"/>
                    </w:rPr>
                    <w:t>1900×1100×1500mm</w:t>
                  </w:r>
                </w:p>
              </w:tc>
            </w:tr>
            <w:tr>
              <w:tblPrEx>
                <w:tblCellMar>
                  <w:top w:w="0" w:type="dxa"/>
                  <w:left w:w="108" w:type="dxa"/>
                  <w:bottom w:w="0" w:type="dxa"/>
                  <w:right w:w="108" w:type="dxa"/>
                </w:tblCellMar>
              </w:tblPrEx>
              <w:trPr>
                <w:trHeight w:val="241" w:hRule="atLeast"/>
                <w:jc w:val="center"/>
              </w:trPr>
              <w:tc>
                <w:tcPr>
                  <w:tcW w:w="2118" w:type="pct"/>
                  <w:vAlign w:val="center"/>
                </w:tcPr>
                <w:p>
                  <w:pPr>
                    <w:pStyle w:val="58"/>
                    <w:rPr>
                      <w:szCs w:val="21"/>
                    </w:rPr>
                  </w:pPr>
                  <w:r>
                    <w:rPr>
                      <w:szCs w:val="21"/>
                    </w:rPr>
                    <w:t>吸附介质</w:t>
                  </w:r>
                </w:p>
              </w:tc>
              <w:tc>
                <w:tcPr>
                  <w:tcW w:w="2881" w:type="pct"/>
                  <w:vAlign w:val="center"/>
                </w:tcPr>
                <w:p>
                  <w:pPr>
                    <w:pStyle w:val="58"/>
                    <w:rPr>
                      <w:szCs w:val="21"/>
                    </w:rPr>
                  </w:pPr>
                  <w:r>
                    <w:rPr>
                      <w:rFonts w:hint="eastAsia"/>
                      <w:szCs w:val="21"/>
                    </w:rPr>
                    <w:t>蜂窝</w:t>
                  </w:r>
                  <w:r>
                    <w:rPr>
                      <w:szCs w:val="21"/>
                    </w:rPr>
                    <w:t>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118" w:type="pct"/>
                  <w:vAlign w:val="center"/>
                </w:tcPr>
                <w:p>
                  <w:pPr>
                    <w:pStyle w:val="58"/>
                    <w:rPr>
                      <w:szCs w:val="21"/>
                    </w:rPr>
                  </w:pPr>
                  <w:r>
                    <w:rPr>
                      <w:szCs w:val="21"/>
                    </w:rPr>
                    <w:t>废气进口温度</w:t>
                  </w:r>
                </w:p>
              </w:tc>
              <w:tc>
                <w:tcPr>
                  <w:tcW w:w="2881" w:type="pct"/>
                  <w:vAlign w:val="center"/>
                </w:tcPr>
                <w:p>
                  <w:pPr>
                    <w:pStyle w:val="58"/>
                    <w:rPr>
                      <w:szCs w:val="21"/>
                    </w:rPr>
                  </w:pPr>
                  <w:r>
                    <w:rPr>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1" w:hRule="atLeast"/>
                <w:jc w:val="center"/>
              </w:trPr>
              <w:tc>
                <w:tcPr>
                  <w:tcW w:w="2118" w:type="pct"/>
                  <w:vAlign w:val="center"/>
                </w:tcPr>
                <w:p>
                  <w:pPr>
                    <w:pStyle w:val="58"/>
                    <w:rPr>
                      <w:szCs w:val="21"/>
                    </w:rPr>
                  </w:pPr>
                  <w:r>
                    <w:rPr>
                      <w:szCs w:val="21"/>
                    </w:rPr>
                    <w:t>设备阻力</w:t>
                  </w:r>
                </w:p>
              </w:tc>
              <w:tc>
                <w:tcPr>
                  <w:tcW w:w="2881" w:type="pct"/>
                  <w:vAlign w:val="center"/>
                </w:tcPr>
                <w:p>
                  <w:pPr>
                    <w:pStyle w:val="58"/>
                    <w:rPr>
                      <w:szCs w:val="21"/>
                    </w:rPr>
                  </w:pPr>
                  <w:r>
                    <w:rPr>
                      <w:szCs w:val="21"/>
                    </w:rPr>
                    <w:t>300Pa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118" w:type="pct"/>
                  <w:vAlign w:val="center"/>
                </w:tcPr>
                <w:p>
                  <w:pPr>
                    <w:pStyle w:val="58"/>
                    <w:rPr>
                      <w:szCs w:val="21"/>
                    </w:rPr>
                  </w:pPr>
                  <w:r>
                    <w:rPr>
                      <w:szCs w:val="21"/>
                    </w:rPr>
                    <w:t>装填量</w:t>
                  </w:r>
                </w:p>
              </w:tc>
              <w:tc>
                <w:tcPr>
                  <w:tcW w:w="2881" w:type="pct"/>
                  <w:vAlign w:val="center"/>
                </w:tcPr>
                <w:p>
                  <w:pPr>
                    <w:pStyle w:val="58"/>
                    <w:rPr>
                      <w:szCs w:val="21"/>
                      <w:highlight w:val="yellow"/>
                    </w:rPr>
                  </w:pPr>
                  <w:r>
                    <w:rPr>
                      <w:rFonts w:hint="eastAsia"/>
                      <w:szCs w:val="21"/>
                    </w:rPr>
                    <w:t>0.7m</w:t>
                  </w:r>
                  <w:r>
                    <w:rPr>
                      <w:rFonts w:hint="eastAsia"/>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118" w:type="pct"/>
                  <w:vMerge w:val="restart"/>
                  <w:vAlign w:val="center"/>
                </w:tcPr>
                <w:p>
                  <w:pPr>
                    <w:pStyle w:val="58"/>
                    <w:rPr>
                      <w:szCs w:val="21"/>
                    </w:rPr>
                  </w:pPr>
                  <w:r>
                    <w:rPr>
                      <w:b/>
                    </w:rPr>
                    <w:t>项目</w:t>
                  </w:r>
                </w:p>
              </w:tc>
              <w:tc>
                <w:tcPr>
                  <w:tcW w:w="2881" w:type="pct"/>
                  <w:vAlign w:val="center"/>
                </w:tcPr>
                <w:p>
                  <w:pPr>
                    <w:pStyle w:val="58"/>
                    <w:rPr>
                      <w:b/>
                    </w:rPr>
                  </w:pPr>
                  <w:r>
                    <w:rPr>
                      <w:b/>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118" w:type="pct"/>
                  <w:vMerge w:val="continue"/>
                  <w:vAlign w:val="center"/>
                </w:tcPr>
                <w:p>
                  <w:pPr>
                    <w:pStyle w:val="58"/>
                    <w:rPr>
                      <w:szCs w:val="21"/>
                    </w:rPr>
                  </w:pPr>
                </w:p>
              </w:tc>
              <w:tc>
                <w:tcPr>
                  <w:tcW w:w="2881" w:type="pct"/>
                  <w:vAlign w:val="center"/>
                </w:tcPr>
                <w:p>
                  <w:pPr>
                    <w:pStyle w:val="58"/>
                    <w:rPr>
                      <w:b/>
                    </w:rPr>
                  </w:pPr>
                  <w:r>
                    <w:rPr>
                      <w:bCs w:val="0"/>
                    </w:rPr>
                    <w:t>活性炭吸附装置</w:t>
                  </w:r>
                  <w:r>
                    <w:rPr>
                      <w:rFonts w:hint="eastAsia"/>
                      <w:bCs w:val="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3331" w:type="dxa"/>
                  <w:vAlign w:val="center"/>
                </w:tcPr>
                <w:p>
                  <w:pPr>
                    <w:pStyle w:val="58"/>
                    <w:rPr>
                      <w:szCs w:val="21"/>
                    </w:rPr>
                  </w:pPr>
                  <w:r>
                    <w:rPr>
                      <w:szCs w:val="21"/>
                    </w:rPr>
                    <w:t>数量</w:t>
                  </w:r>
                </w:p>
              </w:tc>
              <w:tc>
                <w:tcPr>
                  <w:tcW w:w="4529" w:type="dxa"/>
                  <w:vAlign w:val="center"/>
                </w:tcPr>
                <w:p>
                  <w:pPr>
                    <w:pStyle w:val="58"/>
                    <w:rPr>
                      <w:bCs w:val="0"/>
                    </w:rPr>
                  </w:pPr>
                  <w:r>
                    <w:rPr>
                      <w:rFonts w:hint="eastAsia"/>
                      <w:szCs w:val="21"/>
                    </w:rPr>
                    <w:t>1</w:t>
                  </w:r>
                  <w:r>
                    <w:rPr>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3331" w:type="dxa"/>
                  <w:vAlign w:val="center"/>
                </w:tcPr>
                <w:p>
                  <w:pPr>
                    <w:pStyle w:val="58"/>
                    <w:rPr>
                      <w:szCs w:val="21"/>
                    </w:rPr>
                  </w:pPr>
                  <w:r>
                    <w:rPr>
                      <w:szCs w:val="21"/>
                    </w:rPr>
                    <w:t>活性炭吸附塔规格</w:t>
                  </w:r>
                </w:p>
              </w:tc>
              <w:tc>
                <w:tcPr>
                  <w:tcW w:w="4529" w:type="dxa"/>
                  <w:vAlign w:val="center"/>
                </w:tcPr>
                <w:p>
                  <w:pPr>
                    <w:pStyle w:val="58"/>
                    <w:rPr>
                      <w:bCs w:val="0"/>
                    </w:rPr>
                  </w:pPr>
                  <w:r>
                    <w:rPr>
                      <w:rFonts w:hint="eastAsia"/>
                      <w:szCs w:val="21"/>
                    </w:rPr>
                    <w:t>17</w:t>
                  </w:r>
                  <w:r>
                    <w:rPr>
                      <w:szCs w:val="21"/>
                    </w:rPr>
                    <w:t>00×1</w:t>
                  </w:r>
                  <w:r>
                    <w:rPr>
                      <w:rFonts w:hint="eastAsia"/>
                      <w:szCs w:val="21"/>
                    </w:rPr>
                    <w:t>8</w:t>
                  </w:r>
                  <w:r>
                    <w:rPr>
                      <w:szCs w:val="21"/>
                    </w:rPr>
                    <w:t>00×1</w:t>
                  </w:r>
                  <w:r>
                    <w:rPr>
                      <w:rFonts w:hint="eastAsia"/>
                      <w:szCs w:val="21"/>
                    </w:rPr>
                    <w:t>9</w:t>
                  </w:r>
                  <w:r>
                    <w:rPr>
                      <w:szCs w:val="21"/>
                    </w:rPr>
                    <w:t>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3331" w:type="dxa"/>
                  <w:vAlign w:val="center"/>
                </w:tcPr>
                <w:p>
                  <w:pPr>
                    <w:pStyle w:val="58"/>
                    <w:rPr>
                      <w:szCs w:val="21"/>
                    </w:rPr>
                  </w:pPr>
                  <w:r>
                    <w:rPr>
                      <w:szCs w:val="21"/>
                    </w:rPr>
                    <w:t>吸附介质</w:t>
                  </w:r>
                </w:p>
              </w:tc>
              <w:tc>
                <w:tcPr>
                  <w:tcW w:w="4529" w:type="dxa"/>
                  <w:vAlign w:val="center"/>
                </w:tcPr>
                <w:p>
                  <w:pPr>
                    <w:pStyle w:val="58"/>
                    <w:rPr>
                      <w:bCs w:val="0"/>
                    </w:rPr>
                  </w:pPr>
                  <w:r>
                    <w:rPr>
                      <w:rFonts w:hint="eastAsia"/>
                      <w:szCs w:val="21"/>
                    </w:rPr>
                    <w:t>蜂窝</w:t>
                  </w:r>
                  <w:r>
                    <w:rPr>
                      <w:szCs w:val="21"/>
                    </w:rPr>
                    <w:t>活性炭</w:t>
                  </w:r>
                </w:p>
              </w:tc>
            </w:tr>
            <w:tr>
              <w:tblPrEx>
                <w:tblCellMar>
                  <w:top w:w="0" w:type="dxa"/>
                  <w:left w:w="108" w:type="dxa"/>
                  <w:bottom w:w="0" w:type="dxa"/>
                  <w:right w:w="108" w:type="dxa"/>
                </w:tblCellMar>
              </w:tblPrEx>
              <w:trPr>
                <w:trHeight w:val="241" w:hRule="atLeast"/>
                <w:jc w:val="center"/>
              </w:trPr>
              <w:tc>
                <w:tcPr>
                  <w:tcW w:w="3331" w:type="dxa"/>
                  <w:vAlign w:val="center"/>
                </w:tcPr>
                <w:p>
                  <w:pPr>
                    <w:pStyle w:val="58"/>
                    <w:rPr>
                      <w:szCs w:val="21"/>
                    </w:rPr>
                  </w:pPr>
                  <w:r>
                    <w:rPr>
                      <w:szCs w:val="21"/>
                    </w:rPr>
                    <w:t>废气进口温度</w:t>
                  </w:r>
                </w:p>
              </w:tc>
              <w:tc>
                <w:tcPr>
                  <w:tcW w:w="4529" w:type="dxa"/>
                  <w:vAlign w:val="center"/>
                </w:tcPr>
                <w:p>
                  <w:pPr>
                    <w:pStyle w:val="58"/>
                    <w:rPr>
                      <w:bCs w:val="0"/>
                    </w:rPr>
                  </w:pPr>
                  <w:r>
                    <w:rPr>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3331" w:type="dxa"/>
                  <w:vAlign w:val="center"/>
                </w:tcPr>
                <w:p>
                  <w:pPr>
                    <w:pStyle w:val="58"/>
                    <w:rPr>
                      <w:szCs w:val="21"/>
                    </w:rPr>
                  </w:pPr>
                  <w:r>
                    <w:rPr>
                      <w:szCs w:val="21"/>
                    </w:rPr>
                    <w:t>设备阻力</w:t>
                  </w:r>
                </w:p>
              </w:tc>
              <w:tc>
                <w:tcPr>
                  <w:tcW w:w="4529" w:type="dxa"/>
                  <w:vAlign w:val="center"/>
                </w:tcPr>
                <w:p>
                  <w:pPr>
                    <w:pStyle w:val="58"/>
                    <w:rPr>
                      <w:bCs w:val="0"/>
                    </w:rPr>
                  </w:pPr>
                  <w:r>
                    <w:rPr>
                      <w:szCs w:val="21"/>
                    </w:rPr>
                    <w:t>300Pa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3331" w:type="dxa"/>
                  <w:vAlign w:val="center"/>
                </w:tcPr>
                <w:p>
                  <w:pPr>
                    <w:pStyle w:val="58"/>
                    <w:rPr>
                      <w:szCs w:val="21"/>
                    </w:rPr>
                  </w:pPr>
                  <w:r>
                    <w:rPr>
                      <w:szCs w:val="21"/>
                    </w:rPr>
                    <w:t>装填量</w:t>
                  </w:r>
                </w:p>
              </w:tc>
              <w:tc>
                <w:tcPr>
                  <w:tcW w:w="4529" w:type="dxa"/>
                  <w:vAlign w:val="center"/>
                </w:tcPr>
                <w:p>
                  <w:pPr>
                    <w:pStyle w:val="58"/>
                    <w:rPr>
                      <w:bCs w:val="0"/>
                    </w:rPr>
                  </w:pPr>
                  <w:r>
                    <w:rPr>
                      <w:rFonts w:hint="eastAsia"/>
                      <w:szCs w:val="21"/>
                    </w:rPr>
                    <w:t>1m</w:t>
                  </w:r>
                  <w:r>
                    <w:rPr>
                      <w:rFonts w:hint="eastAsia"/>
                      <w:szCs w:val="21"/>
                      <w:vertAlign w:val="superscript"/>
                    </w:rPr>
                    <w:t>3</w:t>
                  </w:r>
                </w:p>
              </w:tc>
            </w:tr>
          </w:tbl>
          <w:p>
            <w:pPr>
              <w:tabs>
                <w:tab w:val="left" w:pos="0"/>
              </w:tabs>
              <w:spacing w:line="360" w:lineRule="auto"/>
              <w:jc w:val="left"/>
              <w:rPr>
                <w:b/>
                <w:color w:val="000000"/>
                <w:sz w:val="24"/>
              </w:rPr>
            </w:pPr>
            <w:r>
              <w:rPr>
                <w:b/>
                <w:color w:val="000000"/>
                <w:sz w:val="24"/>
              </w:rPr>
              <w:t>4.1.3废气污染防治措施可行性分析</w:t>
            </w:r>
          </w:p>
          <w:p>
            <w:pPr>
              <w:tabs>
                <w:tab w:val="left" w:pos="0"/>
              </w:tabs>
              <w:spacing w:line="360" w:lineRule="auto"/>
              <w:ind w:firstLine="480" w:firstLineChars="200"/>
              <w:jc w:val="left"/>
              <w:rPr>
                <w:color w:val="000000"/>
                <w:sz w:val="24"/>
              </w:rPr>
            </w:pPr>
            <w:r>
              <w:rPr>
                <w:color w:val="000000"/>
                <w:sz w:val="24"/>
              </w:rPr>
              <w:t>本项目有机废气使用活性炭吸附装置进行吸附处理，活性炭为有多孔结构和对气体、蒸汽或胶态固体有强大吸附性能的碳，能较好地吸附臭味中的有机物质。每克活性炭的总表面积可达800～2000m</w:t>
            </w:r>
            <w:r>
              <w:rPr>
                <w:color w:val="000000"/>
                <w:sz w:val="24"/>
                <w:vertAlign w:val="superscript"/>
              </w:rPr>
              <w:t>2</w:t>
            </w:r>
            <w:r>
              <w:rPr>
                <w:color w:val="000000"/>
                <w:sz w:val="24"/>
              </w:rPr>
              <w:t>。真比重约1.9～2.1，表观比重约1.08～0.45，含炭量10～98%，碘值约800~1100mg/g，可用于糖液、油脂、甘油、醇类、药剂等的脱色净化，溶剂的回收，气体的吸收、分离和提纯，化学合成的催化剂和催化剂载体等。活性炭吸附气体，主要是利用活性炭的吸附作用，因为吸附反应是放热的反应，因此，随着反应体系温度的升高，活性炭的吸附容量就会逐渐降低，故一段时间后需要及时更换活性炭来保证吸附效率。</w:t>
            </w:r>
          </w:p>
          <w:p>
            <w:pPr>
              <w:spacing w:line="360" w:lineRule="auto"/>
              <w:ind w:firstLine="480" w:firstLineChars="200"/>
              <w:jc w:val="left"/>
              <w:rPr>
                <w:color w:val="000000"/>
                <w:sz w:val="24"/>
              </w:rPr>
            </w:pPr>
            <w:r>
              <w:rPr>
                <w:rFonts w:hint="eastAsia"/>
                <w:color w:val="000000"/>
                <w:sz w:val="24"/>
              </w:rPr>
              <w:t>①</w:t>
            </w:r>
            <w:r>
              <w:rPr>
                <w:color w:val="000000"/>
                <w:sz w:val="24"/>
              </w:rPr>
              <w:t>根据《吸附法工业有机废气治理工程技术规范》（HJ2026-2013），并结合本项目废气产生实际情况，企业应满足的要求及实施情况如下：</w:t>
            </w:r>
          </w:p>
          <w:p>
            <w:pPr>
              <w:spacing w:before="60"/>
              <w:jc w:val="center"/>
              <w:rPr>
                <w:b/>
                <w:color w:val="000000"/>
                <w:sz w:val="24"/>
              </w:rPr>
            </w:pPr>
            <w:r>
              <w:rPr>
                <w:b/>
                <w:color w:val="000000"/>
                <w:sz w:val="24"/>
              </w:rPr>
              <w:t>表4-</w:t>
            </w:r>
            <w:r>
              <w:rPr>
                <w:rFonts w:hint="eastAsia"/>
                <w:b/>
                <w:color w:val="000000"/>
                <w:sz w:val="24"/>
              </w:rPr>
              <w:t>9</w:t>
            </w:r>
            <w:r>
              <w:rPr>
                <w:b/>
                <w:color w:val="000000"/>
                <w:sz w:val="24"/>
              </w:rPr>
              <w:t xml:space="preserve"> 本项目吸附法处理有机废气技术规范相符情况</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56"/>
              <w:gridCol w:w="524"/>
              <w:gridCol w:w="4942"/>
              <w:gridCol w:w="3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307" w:type="pct"/>
                  <w:vAlign w:val="center"/>
                </w:tcPr>
                <w:p>
                  <w:pPr>
                    <w:widowControl/>
                    <w:jc w:val="center"/>
                    <w:textAlignment w:val="center"/>
                    <w:rPr>
                      <w:b/>
                      <w:bCs/>
                      <w:color w:val="000000"/>
                      <w:kern w:val="0"/>
                      <w:szCs w:val="21"/>
                      <w:lang w:bidi="ar"/>
                    </w:rPr>
                  </w:pPr>
                  <w:r>
                    <w:rPr>
                      <w:b/>
                      <w:bCs/>
                      <w:color w:val="000000"/>
                      <w:kern w:val="0"/>
                      <w:szCs w:val="21"/>
                      <w:lang w:bidi="ar"/>
                    </w:rPr>
                    <w:t>序号</w:t>
                  </w:r>
                </w:p>
              </w:tc>
              <w:tc>
                <w:tcPr>
                  <w:tcW w:w="3014" w:type="pct"/>
                  <w:gridSpan w:val="2"/>
                  <w:vAlign w:val="center"/>
                </w:tcPr>
                <w:p>
                  <w:pPr>
                    <w:widowControl/>
                    <w:jc w:val="center"/>
                    <w:textAlignment w:val="center"/>
                    <w:rPr>
                      <w:b/>
                      <w:bCs/>
                      <w:color w:val="000000"/>
                      <w:kern w:val="0"/>
                      <w:szCs w:val="21"/>
                      <w:lang w:bidi="ar"/>
                    </w:rPr>
                  </w:pPr>
                  <w:r>
                    <w:rPr>
                      <w:b/>
                      <w:bCs/>
                      <w:color w:val="000000"/>
                      <w:kern w:val="0"/>
                      <w:szCs w:val="21"/>
                      <w:lang w:bidi="ar"/>
                    </w:rPr>
                    <w:t>《吸附法工业有机废气治理工程技术规范》</w:t>
                  </w:r>
                </w:p>
              </w:tc>
              <w:tc>
                <w:tcPr>
                  <w:tcW w:w="1678" w:type="pct"/>
                  <w:vAlign w:val="center"/>
                </w:tcPr>
                <w:p>
                  <w:pPr>
                    <w:widowControl/>
                    <w:jc w:val="center"/>
                    <w:textAlignment w:val="center"/>
                    <w:rPr>
                      <w:b/>
                      <w:bCs/>
                      <w:color w:val="000000"/>
                      <w:kern w:val="0"/>
                      <w:szCs w:val="21"/>
                      <w:lang w:bidi="ar"/>
                    </w:rPr>
                  </w:pPr>
                  <w:r>
                    <w:rPr>
                      <w:b/>
                      <w:bCs/>
                      <w:color w:val="000000"/>
                      <w:kern w:val="0"/>
                      <w:szCs w:val="21"/>
                      <w:lang w:bidi="ar"/>
                    </w:rPr>
                    <w:t>本项目实施情况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2" w:hRule="atLeast"/>
                <w:jc w:val="center"/>
              </w:trPr>
              <w:tc>
                <w:tcPr>
                  <w:tcW w:w="307" w:type="pct"/>
                  <w:vMerge w:val="restart"/>
                  <w:vAlign w:val="center"/>
                </w:tcPr>
                <w:p>
                  <w:pPr>
                    <w:widowControl/>
                    <w:jc w:val="center"/>
                    <w:textAlignment w:val="center"/>
                    <w:rPr>
                      <w:color w:val="000000"/>
                      <w:kern w:val="0"/>
                      <w:szCs w:val="21"/>
                      <w:lang w:bidi="ar"/>
                    </w:rPr>
                  </w:pPr>
                  <w:r>
                    <w:rPr>
                      <w:color w:val="000000"/>
                      <w:kern w:val="0"/>
                      <w:szCs w:val="21"/>
                      <w:lang w:bidi="ar"/>
                    </w:rPr>
                    <w:t>工艺设计</w:t>
                  </w:r>
                </w:p>
              </w:tc>
              <w:tc>
                <w:tcPr>
                  <w:tcW w:w="289" w:type="pct"/>
                  <w:vMerge w:val="restart"/>
                  <w:vAlign w:val="center"/>
                </w:tcPr>
                <w:p>
                  <w:pPr>
                    <w:widowControl/>
                    <w:jc w:val="center"/>
                    <w:textAlignment w:val="center"/>
                    <w:rPr>
                      <w:color w:val="000000"/>
                      <w:kern w:val="0"/>
                      <w:szCs w:val="21"/>
                      <w:lang w:bidi="ar"/>
                    </w:rPr>
                  </w:pPr>
                  <w:r>
                    <w:rPr>
                      <w:color w:val="000000"/>
                      <w:kern w:val="0"/>
                      <w:szCs w:val="21"/>
                      <w:lang w:bidi="ar"/>
                    </w:rPr>
                    <w:t>废气收集</w:t>
                  </w:r>
                </w:p>
              </w:tc>
              <w:tc>
                <w:tcPr>
                  <w:tcW w:w="2724" w:type="pct"/>
                  <w:vAlign w:val="center"/>
                </w:tcPr>
                <w:p>
                  <w:pPr>
                    <w:widowControl/>
                    <w:jc w:val="center"/>
                    <w:textAlignment w:val="center"/>
                    <w:rPr>
                      <w:color w:val="000000"/>
                      <w:kern w:val="0"/>
                      <w:szCs w:val="21"/>
                      <w:lang w:bidi="ar"/>
                    </w:rPr>
                  </w:pPr>
                  <w:r>
                    <w:rPr>
                      <w:color w:val="000000"/>
                      <w:kern w:val="0"/>
                      <w:szCs w:val="21"/>
                      <w:lang w:bidi="ar"/>
                    </w:rPr>
                    <w:t>吸附装置的效率不得低于 50%</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本项目吸附装置的效率约为90%，符合规范要求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307" w:type="pct"/>
                  <w:vMerge w:val="continue"/>
                  <w:vAlign w:val="center"/>
                </w:tcPr>
                <w:p>
                  <w:pPr>
                    <w:widowControl/>
                    <w:jc w:val="center"/>
                    <w:textAlignment w:val="center"/>
                    <w:rPr>
                      <w:color w:val="000000"/>
                      <w:kern w:val="0"/>
                      <w:szCs w:val="21"/>
                      <w:lang w:bidi="ar"/>
                    </w:rPr>
                  </w:pPr>
                </w:p>
              </w:tc>
              <w:tc>
                <w:tcPr>
                  <w:tcW w:w="289" w:type="pct"/>
                  <w:vMerge w:val="continue"/>
                  <w:vAlign w:val="center"/>
                </w:tcPr>
                <w:p>
                  <w:pPr>
                    <w:widowControl/>
                    <w:jc w:val="center"/>
                    <w:textAlignment w:val="center"/>
                    <w:rPr>
                      <w:color w:val="000000"/>
                      <w:kern w:val="0"/>
                      <w:szCs w:val="21"/>
                      <w:lang w:bidi="ar"/>
                    </w:rPr>
                  </w:pPr>
                </w:p>
              </w:tc>
              <w:tc>
                <w:tcPr>
                  <w:tcW w:w="2724" w:type="pct"/>
                  <w:vAlign w:val="center"/>
                </w:tcPr>
                <w:p>
                  <w:pPr>
                    <w:widowControl/>
                    <w:jc w:val="center"/>
                    <w:textAlignment w:val="center"/>
                    <w:rPr>
                      <w:color w:val="000000"/>
                      <w:kern w:val="0"/>
                      <w:szCs w:val="21"/>
                      <w:lang w:bidi="ar"/>
                    </w:rPr>
                  </w:pPr>
                  <w:r>
                    <w:rPr>
                      <w:color w:val="000000"/>
                      <w:kern w:val="0"/>
                      <w:szCs w:val="21"/>
                      <w:lang w:bidi="ar"/>
                    </w:rPr>
                    <w:t>废气收集系统设计应符合GB50019 的规定</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本项目废气收集系统设计符合规范要求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2" w:hRule="atLeast"/>
                <w:jc w:val="center"/>
              </w:trPr>
              <w:tc>
                <w:tcPr>
                  <w:tcW w:w="307" w:type="pct"/>
                  <w:vMerge w:val="continue"/>
                  <w:vAlign w:val="center"/>
                </w:tcPr>
                <w:p>
                  <w:pPr>
                    <w:widowControl/>
                    <w:jc w:val="center"/>
                    <w:textAlignment w:val="center"/>
                    <w:rPr>
                      <w:color w:val="000000"/>
                      <w:kern w:val="0"/>
                      <w:szCs w:val="21"/>
                      <w:lang w:bidi="ar"/>
                    </w:rPr>
                  </w:pPr>
                </w:p>
              </w:tc>
              <w:tc>
                <w:tcPr>
                  <w:tcW w:w="289" w:type="pct"/>
                  <w:vMerge w:val="continue"/>
                  <w:vAlign w:val="center"/>
                </w:tcPr>
                <w:p>
                  <w:pPr>
                    <w:widowControl/>
                    <w:jc w:val="center"/>
                    <w:textAlignment w:val="center"/>
                    <w:rPr>
                      <w:color w:val="000000"/>
                      <w:kern w:val="0"/>
                      <w:szCs w:val="21"/>
                      <w:lang w:bidi="ar"/>
                    </w:rPr>
                  </w:pPr>
                </w:p>
              </w:tc>
              <w:tc>
                <w:tcPr>
                  <w:tcW w:w="2724" w:type="pct"/>
                  <w:vAlign w:val="center"/>
                </w:tcPr>
                <w:p>
                  <w:pPr>
                    <w:widowControl/>
                    <w:jc w:val="center"/>
                    <w:textAlignment w:val="center"/>
                    <w:rPr>
                      <w:color w:val="000000"/>
                      <w:kern w:val="0"/>
                      <w:szCs w:val="21"/>
                      <w:lang w:bidi="ar"/>
                    </w:rPr>
                  </w:pPr>
                  <w:r>
                    <w:rPr>
                      <w:color w:val="000000"/>
                      <w:kern w:val="0"/>
                      <w:szCs w:val="21"/>
                      <w:lang w:bidi="ar"/>
                    </w:rPr>
                    <w:t>应尽可能利用主体生产装置本身的废气收集系统进行收集。集气罩的配置应与生产工艺协调一致，不影响工艺操作。在保证收集能力的前提下，应结构简单，便于安装和维护管理</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本项目废气通过</w:t>
                  </w:r>
                  <w:r>
                    <w:rPr>
                      <w:rFonts w:hint="eastAsia"/>
                      <w:color w:val="000000"/>
                      <w:kern w:val="0"/>
                      <w:szCs w:val="21"/>
                      <w:lang w:bidi="ar"/>
                    </w:rPr>
                    <w:t>集气罩</w:t>
                  </w:r>
                  <w:r>
                    <w:rPr>
                      <w:color w:val="000000"/>
                      <w:kern w:val="0"/>
                      <w:szCs w:val="21"/>
                      <w:lang w:bidi="ar"/>
                    </w:rPr>
                    <w:t>收集，符合规范要求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307" w:type="pct"/>
                  <w:vMerge w:val="continue"/>
                  <w:vAlign w:val="center"/>
                </w:tcPr>
                <w:p>
                  <w:pPr>
                    <w:widowControl/>
                    <w:jc w:val="center"/>
                    <w:textAlignment w:val="center"/>
                    <w:rPr>
                      <w:color w:val="000000"/>
                      <w:kern w:val="0"/>
                      <w:szCs w:val="21"/>
                      <w:highlight w:val="yellow"/>
                      <w:lang w:bidi="ar"/>
                    </w:rPr>
                  </w:pPr>
                </w:p>
              </w:tc>
              <w:tc>
                <w:tcPr>
                  <w:tcW w:w="289" w:type="pct"/>
                  <w:vMerge w:val="continue"/>
                  <w:vAlign w:val="center"/>
                </w:tcPr>
                <w:p>
                  <w:pPr>
                    <w:widowControl/>
                    <w:jc w:val="center"/>
                    <w:textAlignment w:val="center"/>
                    <w:rPr>
                      <w:color w:val="000000"/>
                      <w:kern w:val="0"/>
                      <w:szCs w:val="21"/>
                      <w:highlight w:val="yellow"/>
                      <w:lang w:bidi="ar"/>
                    </w:rPr>
                  </w:pPr>
                </w:p>
              </w:tc>
              <w:tc>
                <w:tcPr>
                  <w:tcW w:w="2724" w:type="pct"/>
                  <w:vAlign w:val="center"/>
                </w:tcPr>
                <w:p>
                  <w:pPr>
                    <w:widowControl/>
                    <w:jc w:val="center"/>
                    <w:textAlignment w:val="center"/>
                    <w:rPr>
                      <w:color w:val="000000"/>
                      <w:kern w:val="0"/>
                      <w:szCs w:val="21"/>
                      <w:lang w:bidi="ar"/>
                    </w:rPr>
                  </w:pPr>
                  <w:r>
                    <w:rPr>
                      <w:color w:val="000000"/>
                      <w:kern w:val="0"/>
                      <w:szCs w:val="21"/>
                      <w:lang w:bidi="ar"/>
                    </w:rPr>
                    <w:t>确定集气罩的吸气口装置、结构和风速时，应使罩口呈微负压状态，且罩内负压均匀。</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本项目产污设备密闭，废气通过管道密闭收集，控制风速应不低于0.3米/秒，符合规范要求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0" w:hRule="atLeast"/>
                <w:jc w:val="center"/>
              </w:trPr>
              <w:tc>
                <w:tcPr>
                  <w:tcW w:w="307" w:type="pct"/>
                  <w:vMerge w:val="continue"/>
                  <w:vAlign w:val="center"/>
                </w:tcPr>
                <w:p>
                  <w:pPr>
                    <w:widowControl/>
                    <w:jc w:val="center"/>
                    <w:textAlignment w:val="center"/>
                    <w:rPr>
                      <w:color w:val="000000"/>
                      <w:kern w:val="0"/>
                      <w:szCs w:val="21"/>
                      <w:highlight w:val="yellow"/>
                      <w:lang w:bidi="ar"/>
                    </w:rPr>
                  </w:pPr>
                </w:p>
              </w:tc>
              <w:tc>
                <w:tcPr>
                  <w:tcW w:w="289" w:type="pct"/>
                  <w:vMerge w:val="continue"/>
                  <w:vAlign w:val="center"/>
                </w:tcPr>
                <w:p>
                  <w:pPr>
                    <w:widowControl/>
                    <w:jc w:val="center"/>
                    <w:textAlignment w:val="center"/>
                    <w:rPr>
                      <w:color w:val="000000"/>
                      <w:kern w:val="0"/>
                      <w:szCs w:val="21"/>
                      <w:highlight w:val="yellow"/>
                      <w:lang w:bidi="ar"/>
                    </w:rPr>
                  </w:pPr>
                </w:p>
              </w:tc>
              <w:tc>
                <w:tcPr>
                  <w:tcW w:w="2724" w:type="pct"/>
                  <w:vAlign w:val="center"/>
                </w:tcPr>
                <w:p>
                  <w:pPr>
                    <w:widowControl/>
                    <w:jc w:val="center"/>
                    <w:textAlignment w:val="center"/>
                    <w:rPr>
                      <w:color w:val="000000"/>
                      <w:kern w:val="0"/>
                      <w:szCs w:val="21"/>
                      <w:lang w:bidi="ar"/>
                    </w:rPr>
                  </w:pPr>
                  <w:r>
                    <w:rPr>
                      <w:color w:val="000000"/>
                      <w:kern w:val="0"/>
                      <w:szCs w:val="21"/>
                      <w:lang w:bidi="ar"/>
                    </w:rPr>
                    <w:t>集气罩的吸气方向应尽可能与污染气流运动方向一致，防止吸气罩周围气流紊乱，避免或减弱干扰气流和送风气流等对吸气气流的影响。</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本项目废气通过</w:t>
                  </w:r>
                  <w:r>
                    <w:rPr>
                      <w:rFonts w:hint="eastAsia"/>
                      <w:color w:val="000000"/>
                      <w:kern w:val="0"/>
                      <w:szCs w:val="21"/>
                      <w:lang w:bidi="ar"/>
                    </w:rPr>
                    <w:t>集气罩</w:t>
                  </w:r>
                  <w:r>
                    <w:rPr>
                      <w:color w:val="000000"/>
                      <w:kern w:val="0"/>
                      <w:szCs w:val="21"/>
                      <w:lang w:bidi="ar"/>
                    </w:rPr>
                    <w:t>收集，符合规范要求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2" w:hRule="atLeast"/>
                <w:jc w:val="center"/>
              </w:trPr>
              <w:tc>
                <w:tcPr>
                  <w:tcW w:w="307" w:type="pct"/>
                  <w:vMerge w:val="continue"/>
                  <w:vAlign w:val="center"/>
                </w:tcPr>
                <w:p>
                  <w:pPr>
                    <w:widowControl/>
                    <w:jc w:val="center"/>
                    <w:textAlignment w:val="center"/>
                    <w:rPr>
                      <w:color w:val="000000"/>
                      <w:kern w:val="0"/>
                      <w:szCs w:val="21"/>
                      <w:highlight w:val="yellow"/>
                      <w:lang w:bidi="ar"/>
                    </w:rPr>
                  </w:pPr>
                </w:p>
              </w:tc>
              <w:tc>
                <w:tcPr>
                  <w:tcW w:w="289" w:type="pct"/>
                  <w:vMerge w:val="continue"/>
                  <w:vAlign w:val="center"/>
                </w:tcPr>
                <w:p>
                  <w:pPr>
                    <w:widowControl/>
                    <w:jc w:val="center"/>
                    <w:textAlignment w:val="center"/>
                    <w:rPr>
                      <w:color w:val="000000"/>
                      <w:kern w:val="0"/>
                      <w:szCs w:val="21"/>
                      <w:highlight w:val="yellow"/>
                      <w:lang w:bidi="ar"/>
                    </w:rPr>
                  </w:pPr>
                </w:p>
              </w:tc>
              <w:tc>
                <w:tcPr>
                  <w:tcW w:w="2724" w:type="pct"/>
                  <w:vAlign w:val="center"/>
                </w:tcPr>
                <w:p>
                  <w:pPr>
                    <w:widowControl/>
                    <w:jc w:val="center"/>
                    <w:textAlignment w:val="center"/>
                    <w:rPr>
                      <w:color w:val="000000"/>
                      <w:kern w:val="0"/>
                      <w:szCs w:val="21"/>
                      <w:lang w:bidi="ar"/>
                    </w:rPr>
                  </w:pPr>
                  <w:r>
                    <w:rPr>
                      <w:color w:val="000000"/>
                      <w:kern w:val="0"/>
                      <w:szCs w:val="21"/>
                      <w:lang w:bidi="ar"/>
                    </w:rPr>
                    <w:t>当废气产生点较多、彼此距离较远时，应适当分设多套收集系统</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本项目产污节点均配有集气</w:t>
                  </w:r>
                  <w:r>
                    <w:rPr>
                      <w:rFonts w:hint="eastAsia"/>
                      <w:color w:val="000000"/>
                      <w:kern w:val="0"/>
                      <w:szCs w:val="21"/>
                      <w:lang w:bidi="ar"/>
                    </w:rPr>
                    <w:t>罩</w:t>
                  </w:r>
                  <w:r>
                    <w:rPr>
                      <w:color w:val="000000"/>
                      <w:kern w:val="0"/>
                      <w:szCs w:val="21"/>
                      <w:lang w:bidi="ar"/>
                    </w:rPr>
                    <w:t>，符合规范要求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jc w:val="center"/>
              </w:trPr>
              <w:tc>
                <w:tcPr>
                  <w:tcW w:w="307" w:type="pct"/>
                  <w:vMerge w:val="continue"/>
                  <w:vAlign w:val="center"/>
                </w:tcPr>
                <w:p>
                  <w:pPr>
                    <w:widowControl/>
                    <w:jc w:val="center"/>
                    <w:textAlignment w:val="center"/>
                    <w:rPr>
                      <w:color w:val="000000"/>
                      <w:kern w:val="0"/>
                      <w:szCs w:val="21"/>
                      <w:highlight w:val="yellow"/>
                      <w:lang w:bidi="ar"/>
                    </w:rPr>
                  </w:pPr>
                </w:p>
              </w:tc>
              <w:tc>
                <w:tcPr>
                  <w:tcW w:w="289" w:type="pct"/>
                  <w:vAlign w:val="center"/>
                </w:tcPr>
                <w:p>
                  <w:pPr>
                    <w:widowControl/>
                    <w:jc w:val="center"/>
                    <w:textAlignment w:val="center"/>
                    <w:rPr>
                      <w:color w:val="000000"/>
                      <w:kern w:val="0"/>
                      <w:szCs w:val="21"/>
                      <w:lang w:bidi="ar"/>
                    </w:rPr>
                  </w:pPr>
                  <w:r>
                    <w:rPr>
                      <w:color w:val="000000"/>
                      <w:kern w:val="0"/>
                      <w:szCs w:val="21"/>
                      <w:lang w:bidi="ar"/>
                    </w:rPr>
                    <w:t>预处理</w:t>
                  </w:r>
                </w:p>
              </w:tc>
              <w:tc>
                <w:tcPr>
                  <w:tcW w:w="2724" w:type="pct"/>
                  <w:vAlign w:val="center"/>
                </w:tcPr>
                <w:p>
                  <w:pPr>
                    <w:widowControl/>
                    <w:jc w:val="center"/>
                    <w:textAlignment w:val="center"/>
                    <w:rPr>
                      <w:color w:val="000000"/>
                      <w:kern w:val="0"/>
                      <w:szCs w:val="21"/>
                      <w:lang w:bidi="ar"/>
                    </w:rPr>
                  </w:pPr>
                  <w:r>
                    <w:rPr>
                      <w:color w:val="000000"/>
                      <w:kern w:val="0"/>
                      <w:szCs w:val="21"/>
                      <w:lang w:bidi="ar"/>
                    </w:rPr>
                    <w:t>预处理设备应根据废气的成分、性质和影响吸附过程的物质性质及含量进行选择；当废气中颗粒物含量超过1mg/m</w:t>
                  </w:r>
                  <w:r>
                    <w:rPr>
                      <w:color w:val="000000"/>
                      <w:kern w:val="0"/>
                      <w:szCs w:val="21"/>
                      <w:vertAlign w:val="superscript"/>
                      <w:lang w:bidi="ar"/>
                    </w:rPr>
                    <w:t>3</w:t>
                  </w:r>
                  <w:r>
                    <w:rPr>
                      <w:color w:val="000000"/>
                      <w:kern w:val="0"/>
                      <w:szCs w:val="21"/>
                      <w:lang w:bidi="ar"/>
                    </w:rPr>
                    <w:t>时，应先采用过滤或洗涤等方式进行预处理；当废气中含有吸附后难以脱附或造成吸附剂中毒的成分时，应采用洗涤或预吸附等预处理方式处理；过滤装置两端应装设压差计，当过滤器的阻力超过规定值时应及时清理或更换过滤材料</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本项目有机废气进入吸附装置，本项目吸附装置不处理颗粒物；活性炭吸附装置两端安装压差计，当压差异常时更换活性炭，符合规范要求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3" w:hRule="atLeast"/>
                <w:jc w:val="center"/>
              </w:trPr>
              <w:tc>
                <w:tcPr>
                  <w:tcW w:w="307" w:type="pct"/>
                  <w:vMerge w:val="continue"/>
                  <w:vAlign w:val="center"/>
                </w:tcPr>
                <w:p>
                  <w:pPr>
                    <w:widowControl/>
                    <w:jc w:val="center"/>
                    <w:textAlignment w:val="center"/>
                    <w:rPr>
                      <w:color w:val="000000"/>
                      <w:kern w:val="0"/>
                      <w:szCs w:val="21"/>
                      <w:highlight w:val="yellow"/>
                      <w:lang w:bidi="ar"/>
                    </w:rPr>
                  </w:pPr>
                </w:p>
              </w:tc>
              <w:tc>
                <w:tcPr>
                  <w:tcW w:w="289" w:type="pct"/>
                  <w:vMerge w:val="restart"/>
                  <w:vAlign w:val="center"/>
                </w:tcPr>
                <w:p>
                  <w:pPr>
                    <w:widowControl/>
                    <w:jc w:val="center"/>
                    <w:textAlignment w:val="center"/>
                    <w:rPr>
                      <w:color w:val="000000"/>
                      <w:kern w:val="0"/>
                      <w:szCs w:val="21"/>
                      <w:lang w:bidi="ar"/>
                    </w:rPr>
                  </w:pPr>
                  <w:r>
                    <w:rPr>
                      <w:color w:val="000000"/>
                      <w:kern w:val="0"/>
                      <w:szCs w:val="21"/>
                      <w:lang w:bidi="ar"/>
                    </w:rPr>
                    <w:t>二次污染物控制</w:t>
                  </w:r>
                </w:p>
              </w:tc>
              <w:tc>
                <w:tcPr>
                  <w:tcW w:w="2724" w:type="pct"/>
                  <w:vAlign w:val="center"/>
                </w:tcPr>
                <w:p>
                  <w:pPr>
                    <w:widowControl/>
                    <w:jc w:val="center"/>
                    <w:textAlignment w:val="center"/>
                    <w:rPr>
                      <w:color w:val="000000"/>
                      <w:kern w:val="0"/>
                      <w:szCs w:val="21"/>
                      <w:lang w:bidi="ar"/>
                    </w:rPr>
                  </w:pPr>
                  <w:r>
                    <w:rPr>
                      <w:color w:val="000000"/>
                      <w:kern w:val="0"/>
                      <w:szCs w:val="21"/>
                      <w:lang w:bidi="ar"/>
                    </w:rPr>
                    <w:t>预处理产生的粉尘和废渣以及更换后的过滤材料、吸附剂的处理应符合国家固体废弃物处理与处置的相关规定。</w:t>
                  </w:r>
                </w:p>
              </w:tc>
              <w:tc>
                <w:tcPr>
                  <w:tcW w:w="1678" w:type="pct"/>
                  <w:vAlign w:val="center"/>
                </w:tcPr>
                <w:p>
                  <w:pPr>
                    <w:widowControl/>
                    <w:jc w:val="center"/>
                    <w:textAlignment w:val="center"/>
                    <w:rPr>
                      <w:color w:val="000000"/>
                      <w:kern w:val="0"/>
                      <w:szCs w:val="21"/>
                      <w:lang w:bidi="ar"/>
                    </w:rPr>
                  </w:pPr>
                  <w:r>
                    <w:rPr>
                      <w:color w:val="000000"/>
                      <w:kern w:val="0"/>
                      <w:szCs w:val="21"/>
                      <w:lang w:bidi="ar"/>
                    </w:rPr>
                    <w:t>本项目废活性炭交由资质单位处理，符合规范要求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9" w:hRule="atLeast"/>
                <w:jc w:val="center"/>
              </w:trPr>
              <w:tc>
                <w:tcPr>
                  <w:tcW w:w="307" w:type="pct"/>
                  <w:vMerge w:val="continue"/>
                  <w:vAlign w:val="center"/>
                </w:tcPr>
                <w:p>
                  <w:pPr>
                    <w:widowControl/>
                    <w:jc w:val="center"/>
                    <w:textAlignment w:val="center"/>
                    <w:rPr>
                      <w:color w:val="000000"/>
                      <w:kern w:val="0"/>
                      <w:szCs w:val="21"/>
                      <w:highlight w:val="yellow"/>
                      <w:lang w:bidi="ar"/>
                    </w:rPr>
                  </w:pPr>
                </w:p>
              </w:tc>
              <w:tc>
                <w:tcPr>
                  <w:tcW w:w="289" w:type="pct"/>
                  <w:vMerge w:val="continue"/>
                  <w:vAlign w:val="center"/>
                </w:tcPr>
                <w:p>
                  <w:pPr>
                    <w:widowControl/>
                    <w:jc w:val="center"/>
                    <w:textAlignment w:val="center"/>
                    <w:rPr>
                      <w:color w:val="000000"/>
                      <w:kern w:val="0"/>
                      <w:szCs w:val="21"/>
                      <w:lang w:bidi="ar"/>
                    </w:rPr>
                  </w:pPr>
                </w:p>
              </w:tc>
              <w:tc>
                <w:tcPr>
                  <w:tcW w:w="2724" w:type="pct"/>
                  <w:vAlign w:val="center"/>
                </w:tcPr>
                <w:p>
                  <w:pPr>
                    <w:widowControl/>
                    <w:jc w:val="center"/>
                    <w:textAlignment w:val="center"/>
                    <w:rPr>
                      <w:color w:val="000000"/>
                      <w:kern w:val="0"/>
                      <w:szCs w:val="21"/>
                      <w:lang w:bidi="ar"/>
                    </w:rPr>
                  </w:pPr>
                  <w:r>
                    <w:rPr>
                      <w:color w:val="000000"/>
                      <w:kern w:val="0"/>
                      <w:szCs w:val="21"/>
                      <w:lang w:bidi="ar"/>
                    </w:rPr>
                    <w:t>噪声控制应符合GBJ87 和GB12348 的规定</w:t>
                  </w:r>
                </w:p>
              </w:tc>
              <w:tc>
                <w:tcPr>
                  <w:tcW w:w="1678" w:type="pct"/>
                  <w:vAlign w:val="center"/>
                </w:tcPr>
                <w:p>
                  <w:pPr>
                    <w:widowControl/>
                    <w:jc w:val="center"/>
                    <w:textAlignment w:val="center"/>
                    <w:rPr>
                      <w:color w:val="000000"/>
                      <w:kern w:val="0"/>
                      <w:szCs w:val="21"/>
                      <w:lang w:bidi="ar"/>
                    </w:rPr>
                  </w:pPr>
                  <w:r>
                    <w:rPr>
                      <w:color w:val="000000"/>
                      <w:kern w:val="0"/>
                      <w:szCs w:val="21"/>
                      <w:lang w:bidi="ar"/>
                    </w:rPr>
                    <w:t>噪声控制符合GBJ87和GB12348的规定，符合规范要求</w:t>
                  </w:r>
                </w:p>
              </w:tc>
            </w:tr>
          </w:tbl>
          <w:p>
            <w:pPr>
              <w:pStyle w:val="6"/>
              <w:spacing w:before="0" w:after="0" w:line="360" w:lineRule="auto"/>
              <w:ind w:firstLine="480" w:firstLineChars="200"/>
              <w:rPr>
                <w:b w:val="0"/>
                <w:bCs w:val="0"/>
                <w:color w:val="000000"/>
                <w:sz w:val="24"/>
                <w:szCs w:val="24"/>
              </w:rPr>
            </w:pPr>
            <w:r>
              <w:rPr>
                <w:rFonts w:hint="eastAsia"/>
                <w:b w:val="0"/>
                <w:bCs w:val="0"/>
                <w:color w:val="000000"/>
                <w:sz w:val="24"/>
                <w:szCs w:val="24"/>
              </w:rPr>
              <w:t>②与《省生态环境厅关于深入开展涉</w:t>
            </w:r>
            <w:r>
              <w:rPr>
                <w:b w:val="0"/>
                <w:bCs w:val="0"/>
                <w:color w:val="000000"/>
                <w:sz w:val="24"/>
                <w:szCs w:val="24"/>
              </w:rPr>
              <w:t>VOCs</w:t>
            </w:r>
            <w:r>
              <w:rPr>
                <w:rFonts w:hint="eastAsia"/>
                <w:b w:val="0"/>
                <w:bCs w:val="0"/>
                <w:color w:val="000000"/>
                <w:sz w:val="24"/>
                <w:szCs w:val="24"/>
              </w:rPr>
              <w:t>治理重点工作核查的通知》（环大气[2022]218号）相符性分析</w:t>
            </w:r>
          </w:p>
          <w:p>
            <w:pPr>
              <w:pStyle w:val="6"/>
              <w:spacing w:before="0" w:after="0" w:line="360" w:lineRule="auto"/>
              <w:ind w:firstLine="480" w:firstLineChars="200"/>
              <w:rPr>
                <w:b w:val="0"/>
                <w:bCs w:val="0"/>
                <w:color w:val="000000"/>
                <w:sz w:val="24"/>
                <w:szCs w:val="24"/>
              </w:rPr>
            </w:pPr>
            <w:r>
              <w:rPr>
                <w:rFonts w:hint="eastAsia"/>
                <w:b w:val="0"/>
                <w:bCs w:val="0"/>
                <w:color w:val="000000"/>
                <w:sz w:val="24"/>
                <w:szCs w:val="24"/>
              </w:rPr>
              <w:t>为遏制臭氧污染严峻形势，进一步压降我省</w:t>
            </w:r>
            <w:r>
              <w:rPr>
                <w:b w:val="0"/>
                <w:bCs w:val="0"/>
                <w:color w:val="000000"/>
                <w:sz w:val="24"/>
                <w:szCs w:val="24"/>
              </w:rPr>
              <w:t>VOCs</w:t>
            </w:r>
            <w:r>
              <w:rPr>
                <w:rFonts w:hint="eastAsia"/>
                <w:b w:val="0"/>
                <w:bCs w:val="0"/>
                <w:color w:val="000000"/>
                <w:sz w:val="24"/>
                <w:szCs w:val="24"/>
              </w:rPr>
              <w:t>排放总量，切实解决涉气企业在使用活性炭处理工艺存在的设计不规范、以次充好、填充量不足、更换不及时等实际问题，省生态环境厅印发活性炭吸附装置入户核查基本要求，相符性分析如下：</w:t>
            </w:r>
          </w:p>
          <w:p>
            <w:pPr>
              <w:spacing w:before="60"/>
              <w:jc w:val="center"/>
              <w:rPr>
                <w:b/>
                <w:color w:val="000000"/>
                <w:sz w:val="24"/>
              </w:rPr>
            </w:pPr>
          </w:p>
          <w:p>
            <w:pPr>
              <w:spacing w:before="60"/>
              <w:jc w:val="center"/>
              <w:rPr>
                <w:b/>
                <w:color w:val="000000"/>
                <w:sz w:val="24"/>
              </w:rPr>
            </w:pPr>
          </w:p>
          <w:p>
            <w:pPr>
              <w:spacing w:before="60"/>
              <w:jc w:val="center"/>
              <w:rPr>
                <w:b/>
                <w:color w:val="000000"/>
                <w:sz w:val="24"/>
              </w:rPr>
            </w:pPr>
            <w:r>
              <w:rPr>
                <w:b/>
                <w:color w:val="000000"/>
                <w:sz w:val="24"/>
              </w:rPr>
              <w:t>表</w:t>
            </w:r>
            <w:r>
              <w:rPr>
                <w:rFonts w:hint="eastAsia"/>
                <w:b/>
                <w:color w:val="000000"/>
                <w:sz w:val="24"/>
              </w:rPr>
              <w:t>4-10与《省生态环境厅关于深入开展涉</w:t>
            </w:r>
            <w:r>
              <w:rPr>
                <w:b/>
                <w:color w:val="000000"/>
                <w:sz w:val="24"/>
              </w:rPr>
              <w:t>VOCs</w:t>
            </w:r>
            <w:r>
              <w:rPr>
                <w:rFonts w:hint="eastAsia"/>
                <w:b/>
                <w:color w:val="000000"/>
                <w:sz w:val="24"/>
              </w:rPr>
              <w:t>治理重点工作核查的通知》（环大气[2022]218号）相符性分析</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5068"/>
              <w:gridCol w:w="30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Align w:val="center"/>
                </w:tcPr>
                <w:p>
                  <w:pPr>
                    <w:widowControl/>
                    <w:jc w:val="center"/>
                    <w:textAlignment w:val="center"/>
                    <w:rPr>
                      <w:rFonts w:ascii="宋体" w:hAnsi="宋体" w:cs="宋体"/>
                      <w:szCs w:val="21"/>
                      <w:shd w:val="clear" w:color="auto" w:fill="FFFFFF"/>
                    </w:rPr>
                  </w:pPr>
                  <w:r>
                    <w:rPr>
                      <w:rFonts w:ascii="宋体" w:hAnsi="宋体" w:cs="宋体"/>
                      <w:szCs w:val="21"/>
                      <w:shd w:val="clear" w:color="auto" w:fill="FFFFFF"/>
                    </w:rPr>
                    <w:t>类别</w:t>
                  </w:r>
                </w:p>
              </w:tc>
              <w:tc>
                <w:tcPr>
                  <w:tcW w:w="2791" w:type="pct"/>
                  <w:vAlign w:val="center"/>
                </w:tcPr>
                <w:p>
                  <w:pPr>
                    <w:widowControl/>
                    <w:jc w:val="center"/>
                    <w:textAlignment w:val="center"/>
                    <w:rPr>
                      <w:rFonts w:ascii="宋体" w:hAnsi="宋体" w:cs="宋体"/>
                      <w:szCs w:val="21"/>
                      <w:shd w:val="clear" w:color="auto" w:fill="FFFFFF"/>
                    </w:rPr>
                  </w:pPr>
                  <w:r>
                    <w:rPr>
                      <w:rFonts w:ascii="宋体" w:hAnsi="宋体" w:cs="宋体"/>
                      <w:szCs w:val="21"/>
                      <w:shd w:val="clear" w:color="auto" w:fill="FFFFFF"/>
                    </w:rPr>
                    <w:t>具体要求</w:t>
                  </w:r>
                </w:p>
              </w:tc>
              <w:tc>
                <w:tcPr>
                  <w:tcW w:w="1672" w:type="pct"/>
                  <w:vAlign w:val="center"/>
                </w:tcPr>
                <w:p>
                  <w:pPr>
                    <w:widowControl/>
                    <w:jc w:val="center"/>
                    <w:textAlignment w:val="center"/>
                    <w:rPr>
                      <w:rFonts w:ascii="宋体" w:hAnsi="宋体" w:cs="宋体"/>
                      <w:szCs w:val="21"/>
                      <w:shd w:val="clear" w:color="auto" w:fill="FFFFFF"/>
                    </w:rPr>
                  </w:pPr>
                  <w:r>
                    <w:rPr>
                      <w:rFonts w:ascii="宋体" w:hAnsi="宋体" w:cs="宋体"/>
                      <w:szCs w:val="21"/>
                      <w:shd w:val="clear" w:color="auto" w:fill="FFFFFF"/>
                    </w:rPr>
                    <w:t>拟建设情况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Align w:val="center"/>
                </w:tcPr>
                <w:p>
                  <w:pPr>
                    <w:jc w:val="center"/>
                    <w:rPr>
                      <w:color w:val="000000"/>
                      <w:szCs w:val="21"/>
                    </w:rPr>
                  </w:pPr>
                  <w:r>
                    <w:rPr>
                      <w:rFonts w:hint="eastAsia"/>
                      <w:color w:val="000000"/>
                      <w:szCs w:val="21"/>
                    </w:rPr>
                    <w:t>设计风量</w:t>
                  </w:r>
                </w:p>
              </w:tc>
              <w:tc>
                <w:tcPr>
                  <w:tcW w:w="2791" w:type="pct"/>
                  <w:vAlign w:val="center"/>
                </w:tcPr>
                <w:p>
                  <w:pPr>
                    <w:autoSpaceDE w:val="0"/>
                    <w:autoSpaceDN w:val="0"/>
                    <w:adjustRightInd w:val="0"/>
                    <w:jc w:val="center"/>
                    <w:rPr>
                      <w:color w:val="000000"/>
                      <w:szCs w:val="21"/>
                    </w:rPr>
                  </w:pPr>
                  <w:r>
                    <w:rPr>
                      <w:rFonts w:hint="eastAsia"/>
                      <w:color w:val="000000"/>
                      <w:szCs w:val="21"/>
                    </w:rPr>
                    <w:t>涉</w:t>
                  </w:r>
                  <w:r>
                    <w:rPr>
                      <w:color w:val="000000"/>
                      <w:szCs w:val="21"/>
                    </w:rPr>
                    <w:t>VOCs</w:t>
                  </w:r>
                  <w:r>
                    <w:rPr>
                      <w:rFonts w:hint="eastAsia"/>
                      <w:color w:val="000000"/>
                      <w:szCs w:val="21"/>
                    </w:rPr>
                    <w:t>排放工序应在密闭空间中操作或采用全密闭集气罩收集，无法密闭采用局部集气罩的，应根据废气排放特点合理选择收集点位，按《排风罩的分类和技术条件》（</w:t>
                  </w:r>
                  <w:r>
                    <w:rPr>
                      <w:color w:val="000000"/>
                      <w:szCs w:val="21"/>
                    </w:rPr>
                    <w:t>GB/T 16758</w:t>
                  </w:r>
                  <w:r>
                    <w:rPr>
                      <w:rFonts w:hint="eastAsia"/>
                      <w:color w:val="000000"/>
                      <w:szCs w:val="21"/>
                    </w:rPr>
                    <w:t>）规定，设置能有效收集废气的集气罩，距集气罩开口面最远处的</w:t>
                  </w:r>
                  <w:r>
                    <w:rPr>
                      <w:color w:val="000000"/>
                      <w:szCs w:val="21"/>
                    </w:rPr>
                    <w:t>VOCs</w:t>
                  </w:r>
                  <w:r>
                    <w:rPr>
                      <w:rFonts w:hint="eastAsia"/>
                      <w:color w:val="000000"/>
                      <w:szCs w:val="21"/>
                    </w:rPr>
                    <w:t>无组织排放位置，控制风速不低于</w:t>
                  </w:r>
                  <w:r>
                    <w:rPr>
                      <w:color w:val="000000"/>
                      <w:szCs w:val="21"/>
                    </w:rPr>
                    <w:t>0.3</w:t>
                  </w:r>
                  <w:r>
                    <w:rPr>
                      <w:rFonts w:hint="eastAsia"/>
                      <w:color w:val="000000"/>
                      <w:szCs w:val="21"/>
                    </w:rPr>
                    <w:t>米</w:t>
                  </w:r>
                  <w:r>
                    <w:rPr>
                      <w:color w:val="000000"/>
                      <w:szCs w:val="21"/>
                    </w:rPr>
                    <w:t>/</w:t>
                  </w:r>
                  <w:r>
                    <w:rPr>
                      <w:rFonts w:hint="eastAsia"/>
                      <w:color w:val="000000"/>
                      <w:szCs w:val="21"/>
                    </w:rPr>
                    <w:t>秒。活性炭吸附装置风机应满足依据车间集气罩形状、大小数量及控制风速等测算的风量所需，达不到要求的通过更换大功率风机、增设烟道风机、增加垂帘等方式进行改造。</w:t>
                  </w:r>
                </w:p>
              </w:tc>
              <w:tc>
                <w:tcPr>
                  <w:tcW w:w="1672" w:type="pct"/>
                  <w:vAlign w:val="center"/>
                </w:tcPr>
                <w:p>
                  <w:pPr>
                    <w:widowControl/>
                    <w:jc w:val="center"/>
                    <w:textAlignment w:val="center"/>
                    <w:rPr>
                      <w:rFonts w:ascii="宋体" w:hAnsi="宋体" w:cs="宋体"/>
                      <w:szCs w:val="21"/>
                      <w:shd w:val="clear" w:color="auto" w:fill="FFFFFF"/>
                    </w:rPr>
                  </w:pPr>
                  <w:r>
                    <w:rPr>
                      <w:rFonts w:hint="eastAsia"/>
                      <w:color w:val="000000"/>
                      <w:szCs w:val="21"/>
                    </w:rPr>
                    <w:t>本项目涉</w:t>
                  </w:r>
                  <w:r>
                    <w:rPr>
                      <w:color w:val="000000"/>
                      <w:szCs w:val="21"/>
                    </w:rPr>
                    <w:t>VOCs</w:t>
                  </w:r>
                  <w:r>
                    <w:rPr>
                      <w:rFonts w:hint="eastAsia"/>
                      <w:color w:val="000000"/>
                      <w:szCs w:val="21"/>
                    </w:rPr>
                    <w:t>排放工序均采用密闭空间中操作或根据废气排放特点合理选择收集点位，按《排风罩的分类和技术条件》（</w:t>
                  </w:r>
                  <w:r>
                    <w:rPr>
                      <w:color w:val="000000"/>
                      <w:szCs w:val="21"/>
                    </w:rPr>
                    <w:t>GB/T 16758</w:t>
                  </w:r>
                  <w:r>
                    <w:rPr>
                      <w:rFonts w:hint="eastAsia"/>
                      <w:color w:val="000000"/>
                      <w:szCs w:val="21"/>
                    </w:rPr>
                    <w:t>）规定，设置能有效收集废气的集气罩收集，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Align w:val="center"/>
                </w:tcPr>
                <w:p>
                  <w:pPr>
                    <w:jc w:val="center"/>
                    <w:rPr>
                      <w:color w:val="000000"/>
                      <w:szCs w:val="21"/>
                    </w:rPr>
                  </w:pPr>
                  <w:r>
                    <w:rPr>
                      <w:rFonts w:hint="eastAsia"/>
                      <w:color w:val="000000"/>
                      <w:szCs w:val="21"/>
                    </w:rPr>
                    <w:t>设备质量</w:t>
                  </w:r>
                </w:p>
              </w:tc>
              <w:tc>
                <w:tcPr>
                  <w:tcW w:w="2791" w:type="pct"/>
                  <w:vAlign w:val="center"/>
                </w:tcPr>
                <w:p>
                  <w:pPr>
                    <w:autoSpaceDE w:val="0"/>
                    <w:autoSpaceDN w:val="0"/>
                    <w:adjustRightInd w:val="0"/>
                    <w:jc w:val="left"/>
                    <w:rPr>
                      <w:color w:val="000000"/>
                      <w:szCs w:val="21"/>
                    </w:rPr>
                  </w:pPr>
                  <w:r>
                    <w:rPr>
                      <w:rFonts w:hint="eastAsia"/>
                      <w:color w:val="000000"/>
                      <w:szCs w:val="21"/>
                    </w:rPr>
                    <w:t>无论是卧式活性炭罐还是箱式活性炭罐内部结构应设计合理（参见附件</w:t>
                  </w:r>
                  <w:r>
                    <w:rPr>
                      <w:color w:val="000000"/>
                      <w:szCs w:val="21"/>
                    </w:rPr>
                    <w:t>1</w:t>
                  </w:r>
                  <w:r>
                    <w:rPr>
                      <w:rFonts w:hint="eastAsia"/>
                      <w:color w:val="000000"/>
                      <w:szCs w:val="21"/>
                    </w:rPr>
                    <w:t>），气体流通顺畅、无短路、无死角。活性炭吸附装置的门、焊缝、管道连接处等均应严密，不得漏气，所有螺栓、螺母均应经过表面处理，连接牢固。金属材质装置外壳应采用不锈钢或防腐处理，表面光洁不得有锈蚀、毛刺、凹凸不平等缺陷。排放风机宜安装在吸附装置后端，使装置形成负压，尽量保证无污染气体泄漏到设备箱罐体体外。应在活性炭吸附装置进气和出气管道上设置采样口，采样口设置应符合《环境保护产品技术要求工业废气吸附净化装置</w:t>
                  </w:r>
                  <w:r>
                    <w:rPr>
                      <w:color w:val="000000"/>
                      <w:szCs w:val="21"/>
                    </w:rPr>
                    <w:t>HJ T386 2007</w:t>
                  </w:r>
                  <w:r>
                    <w:rPr>
                      <w:rFonts w:hint="eastAsia"/>
                      <w:color w:val="000000"/>
                      <w:szCs w:val="21"/>
                    </w:rPr>
                    <w:t>》的要求，便于日常监测活性炭吸附效率。根据活性炭更换周期及时更换活性炭，更换下来的活性炭按危险废物处理。采用活性炭吸附装置的企业应配备</w:t>
                  </w:r>
                  <w:r>
                    <w:rPr>
                      <w:color w:val="000000"/>
                      <w:szCs w:val="21"/>
                    </w:rPr>
                    <w:t>VOCs</w:t>
                  </w:r>
                  <w:r>
                    <w:rPr>
                      <w:rFonts w:hint="eastAsia"/>
                      <w:color w:val="000000"/>
                      <w:szCs w:val="21"/>
                    </w:rPr>
                    <w:t>快速监测设备。</w:t>
                  </w:r>
                </w:p>
              </w:tc>
              <w:tc>
                <w:tcPr>
                  <w:tcW w:w="1672" w:type="pct"/>
                  <w:vAlign w:val="center"/>
                </w:tcPr>
                <w:p>
                  <w:pPr>
                    <w:widowControl/>
                    <w:jc w:val="center"/>
                    <w:textAlignment w:val="center"/>
                    <w:rPr>
                      <w:color w:val="000000"/>
                      <w:szCs w:val="21"/>
                    </w:rPr>
                  </w:pPr>
                  <w:r>
                    <w:rPr>
                      <w:rFonts w:hint="eastAsia"/>
                      <w:color w:val="000000"/>
                      <w:szCs w:val="21"/>
                    </w:rPr>
                    <w:t>本项目使用蜂窝状活性炭，选用含水量＜10%，耐磨度＜90%，碘吸附值＞800mg/g，四氯化碳吸附率＞45%的活性炭，满足附件1要求，废气处理设施排放风机安装在吸附装置后端，并在活性炭吸附装置进气和出气管道上设置采样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Align w:val="center"/>
                </w:tcPr>
                <w:p>
                  <w:pPr>
                    <w:jc w:val="center"/>
                    <w:rPr>
                      <w:color w:val="000000"/>
                      <w:szCs w:val="21"/>
                    </w:rPr>
                  </w:pPr>
                  <w:r>
                    <w:rPr>
                      <w:rFonts w:hint="eastAsia"/>
                      <w:color w:val="000000"/>
                      <w:szCs w:val="21"/>
                    </w:rPr>
                    <w:t>气体</w:t>
                  </w:r>
                  <w:r>
                    <w:rPr>
                      <w:color w:val="000000"/>
                      <w:szCs w:val="21"/>
                    </w:rPr>
                    <w:t>流速</w:t>
                  </w:r>
                </w:p>
              </w:tc>
              <w:tc>
                <w:tcPr>
                  <w:tcW w:w="2791" w:type="pct"/>
                  <w:vAlign w:val="center"/>
                </w:tcPr>
                <w:p>
                  <w:pPr>
                    <w:autoSpaceDE w:val="0"/>
                    <w:autoSpaceDN w:val="0"/>
                    <w:adjustRightInd w:val="0"/>
                    <w:jc w:val="left"/>
                    <w:rPr>
                      <w:color w:val="000000"/>
                      <w:szCs w:val="21"/>
                    </w:rPr>
                  </w:pPr>
                  <w:r>
                    <w:rPr>
                      <w:rFonts w:hint="eastAsia"/>
                      <w:color w:val="000000"/>
                      <w:szCs w:val="21"/>
                    </w:rPr>
                    <w:t>吸附装置吸附层的气体流速应根据吸附剂的形态确定。采用颗粒活性炭时，气体流速宜低于</w:t>
                  </w:r>
                  <w:r>
                    <w:rPr>
                      <w:color w:val="000000"/>
                      <w:szCs w:val="21"/>
                    </w:rPr>
                    <w:t>0.60m/s</w:t>
                  </w:r>
                  <w:r>
                    <w:rPr>
                      <w:rFonts w:hint="eastAsia"/>
                      <w:color w:val="000000"/>
                      <w:szCs w:val="21"/>
                    </w:rPr>
                    <w:t>，装填厚度不得低于</w:t>
                  </w:r>
                  <w:r>
                    <w:rPr>
                      <w:color w:val="000000"/>
                      <w:szCs w:val="21"/>
                    </w:rPr>
                    <w:t>0.4m</w:t>
                  </w:r>
                  <w:r>
                    <w:rPr>
                      <w:rFonts w:hint="eastAsia"/>
                      <w:color w:val="000000"/>
                      <w:szCs w:val="21"/>
                    </w:rPr>
                    <w:t>。活性炭应装填齐整，避免气流短路；采用活性炭纤维时，气体流速宜低于</w:t>
                  </w:r>
                  <w:r>
                    <w:rPr>
                      <w:color w:val="000000"/>
                      <w:szCs w:val="21"/>
                    </w:rPr>
                    <w:t>0.15m/s</w:t>
                  </w:r>
                  <w:r>
                    <w:rPr>
                      <w:rFonts w:hint="eastAsia"/>
                      <w:color w:val="000000"/>
                      <w:szCs w:val="21"/>
                    </w:rPr>
                    <w:t>；采用蜂窝活性炭时，气体流速宜低于</w:t>
                  </w:r>
                  <w:r>
                    <w:rPr>
                      <w:color w:val="000000"/>
                      <w:szCs w:val="21"/>
                    </w:rPr>
                    <w:t>1.20m/s</w:t>
                  </w:r>
                  <w:r>
                    <w:rPr>
                      <w:rFonts w:hint="eastAsia"/>
                      <w:color w:val="000000"/>
                      <w:szCs w:val="21"/>
                    </w:rPr>
                    <w:t>。</w:t>
                  </w:r>
                </w:p>
              </w:tc>
              <w:tc>
                <w:tcPr>
                  <w:tcW w:w="1672" w:type="pct"/>
                  <w:vAlign w:val="center"/>
                </w:tcPr>
                <w:p>
                  <w:pPr>
                    <w:autoSpaceDE w:val="0"/>
                    <w:autoSpaceDN w:val="0"/>
                    <w:adjustRightInd w:val="0"/>
                    <w:jc w:val="left"/>
                    <w:rPr>
                      <w:color w:val="000000"/>
                      <w:szCs w:val="21"/>
                    </w:rPr>
                  </w:pPr>
                  <w:r>
                    <w:rPr>
                      <w:rFonts w:hint="eastAsia"/>
                      <w:color w:val="000000"/>
                      <w:szCs w:val="21"/>
                    </w:rPr>
                    <w:t>本项目使用蜂窝状活性炭，气体流速低于1.2</w:t>
                  </w:r>
                  <w:r>
                    <w:rPr>
                      <w:color w:val="000000"/>
                      <w:szCs w:val="21"/>
                    </w:rPr>
                    <w:t>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Align w:val="center"/>
                </w:tcPr>
                <w:p>
                  <w:pPr>
                    <w:jc w:val="center"/>
                    <w:rPr>
                      <w:color w:val="000000"/>
                      <w:szCs w:val="21"/>
                    </w:rPr>
                  </w:pPr>
                  <w:r>
                    <w:rPr>
                      <w:rFonts w:hint="eastAsia"/>
                      <w:color w:val="000000"/>
                      <w:szCs w:val="21"/>
                    </w:rPr>
                    <w:t>废气预处理</w:t>
                  </w:r>
                </w:p>
              </w:tc>
              <w:tc>
                <w:tcPr>
                  <w:tcW w:w="2791" w:type="pct"/>
                  <w:vAlign w:val="center"/>
                </w:tcPr>
                <w:p>
                  <w:pPr>
                    <w:jc w:val="center"/>
                    <w:rPr>
                      <w:color w:val="000000"/>
                      <w:szCs w:val="21"/>
                    </w:rPr>
                  </w:pPr>
                  <w:r>
                    <w:rPr>
                      <w:rFonts w:hint="eastAsia"/>
                      <w:color w:val="000000"/>
                      <w:szCs w:val="21"/>
                    </w:rPr>
                    <w:t>进入吸附设备的废气颗粒物含量和温度应分别低于</w:t>
                  </w:r>
                  <w:r>
                    <w:rPr>
                      <w:color w:val="000000"/>
                      <w:szCs w:val="21"/>
                    </w:rPr>
                    <w:t>1mg/m³</w:t>
                  </w:r>
                  <w:r>
                    <w:rPr>
                      <w:rFonts w:hint="eastAsia"/>
                      <w:color w:val="000000"/>
                      <w:szCs w:val="21"/>
                    </w:rPr>
                    <w:t>和</w:t>
                  </w:r>
                  <w:r>
                    <w:rPr>
                      <w:color w:val="000000"/>
                      <w:szCs w:val="21"/>
                    </w:rPr>
                    <w:t>40</w:t>
                  </w:r>
                  <w:r>
                    <w:rPr>
                      <w:rFonts w:hint="eastAsia"/>
                      <w:color w:val="000000"/>
                      <w:szCs w:val="21"/>
                    </w:rPr>
                    <w:t>℃，若颗粒物含量超过</w:t>
                  </w:r>
                  <w:r>
                    <w:rPr>
                      <w:color w:val="000000"/>
                      <w:szCs w:val="21"/>
                    </w:rPr>
                    <w:t>1mg/m³</w:t>
                  </w:r>
                  <w:r>
                    <w:rPr>
                      <w:rFonts w:hint="eastAsia"/>
                      <w:color w:val="000000"/>
                      <w:szCs w:val="21"/>
                    </w:rPr>
                    <w:t>时，应先采用过滤或洗涤等方式进行预处理。活性炭对酸性废气吸附效果较差，且酸性气体易对设备本体造成腐蚀，应先采用洗涤进行预处理。企业应制订定期更换过滤材料的设备运行维护规程，保障活性炭在低颗粒物、低含水率条件下使用</w:t>
                  </w:r>
                </w:p>
              </w:tc>
              <w:tc>
                <w:tcPr>
                  <w:tcW w:w="1672" w:type="pct"/>
                  <w:vAlign w:val="center"/>
                </w:tcPr>
                <w:p>
                  <w:pPr>
                    <w:jc w:val="center"/>
                    <w:rPr>
                      <w:color w:val="000000"/>
                      <w:szCs w:val="21"/>
                    </w:rPr>
                  </w:pPr>
                  <w:r>
                    <w:rPr>
                      <w:rFonts w:hint="eastAsia"/>
                      <w:color w:val="000000"/>
                      <w:szCs w:val="21"/>
                    </w:rPr>
                    <w:t>本项目颗粒物产生浓度低于1</w:t>
                  </w:r>
                  <w:r>
                    <w:rPr>
                      <w:color w:val="000000"/>
                      <w:szCs w:val="21"/>
                    </w:rPr>
                    <w:t xml:space="preserve"> mg/m³，温度为常温不高于40</w:t>
                  </w:r>
                  <w:r>
                    <w:rPr>
                      <w:rFonts w:hint="eastAsia"/>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Align w:val="center"/>
                </w:tcPr>
                <w:p>
                  <w:pPr>
                    <w:jc w:val="center"/>
                    <w:rPr>
                      <w:color w:val="000000"/>
                      <w:szCs w:val="21"/>
                    </w:rPr>
                  </w:pPr>
                  <w:r>
                    <w:rPr>
                      <w:rFonts w:hint="eastAsia"/>
                      <w:color w:val="000000"/>
                      <w:szCs w:val="21"/>
                    </w:rPr>
                    <w:t>活性炭质量</w:t>
                  </w:r>
                </w:p>
              </w:tc>
              <w:tc>
                <w:tcPr>
                  <w:tcW w:w="2791" w:type="pct"/>
                  <w:vAlign w:val="center"/>
                </w:tcPr>
                <w:p>
                  <w:pPr>
                    <w:jc w:val="center"/>
                    <w:rPr>
                      <w:color w:val="000000"/>
                      <w:szCs w:val="21"/>
                    </w:rPr>
                  </w:pPr>
                  <w:r>
                    <w:rPr>
                      <w:rFonts w:hint="eastAsia"/>
                      <w:color w:val="000000"/>
                      <w:szCs w:val="21"/>
                    </w:rPr>
                    <w:t>颗粒活性炭碘吸附值≥</w:t>
                  </w:r>
                  <w:r>
                    <w:rPr>
                      <w:color w:val="000000"/>
                      <w:szCs w:val="21"/>
                    </w:rPr>
                    <w:t>800mg/g</w:t>
                  </w:r>
                  <w:r>
                    <w:rPr>
                      <w:rFonts w:hint="eastAsia"/>
                      <w:color w:val="000000"/>
                      <w:szCs w:val="21"/>
                    </w:rPr>
                    <w:t>，比表面积≥</w:t>
                  </w:r>
                  <w:r>
                    <w:rPr>
                      <w:color w:val="000000"/>
                      <w:szCs w:val="21"/>
                    </w:rPr>
                    <w:t>850m</w:t>
                  </w:r>
                  <w:r>
                    <w:rPr>
                      <w:color w:val="000000"/>
                      <w:szCs w:val="21"/>
                      <w:vertAlign w:val="superscript"/>
                    </w:rPr>
                    <w:t>2</w:t>
                  </w:r>
                  <w:r>
                    <w:rPr>
                      <w:color w:val="000000"/>
                      <w:szCs w:val="21"/>
                    </w:rPr>
                    <w:t>/g</w:t>
                  </w:r>
                  <w:r>
                    <w:rPr>
                      <w:rFonts w:hint="eastAsia"/>
                      <w:color w:val="000000"/>
                      <w:szCs w:val="21"/>
                    </w:rPr>
                    <w:t>；蜂窝活性炭横向抗压强度应不低于</w:t>
                  </w:r>
                  <w:r>
                    <w:rPr>
                      <w:color w:val="000000"/>
                      <w:szCs w:val="21"/>
                    </w:rPr>
                    <w:t>0.9MPa</w:t>
                  </w:r>
                  <w:r>
                    <w:rPr>
                      <w:rFonts w:hint="eastAsia"/>
                      <w:color w:val="000000"/>
                      <w:szCs w:val="21"/>
                    </w:rPr>
                    <w:t>，纵向强度应不低于</w:t>
                  </w:r>
                  <w:r>
                    <w:rPr>
                      <w:color w:val="000000"/>
                      <w:szCs w:val="21"/>
                    </w:rPr>
                    <w:t>0.4MPa</w:t>
                  </w:r>
                  <w:r>
                    <w:rPr>
                      <w:rFonts w:hint="eastAsia"/>
                      <w:color w:val="000000"/>
                      <w:szCs w:val="21"/>
                    </w:rPr>
                    <w:t>，碘吸附值≥</w:t>
                  </w:r>
                  <w:r>
                    <w:rPr>
                      <w:color w:val="000000"/>
                      <w:szCs w:val="21"/>
                    </w:rPr>
                    <w:t>650mg/g</w:t>
                  </w:r>
                  <w:r>
                    <w:rPr>
                      <w:rFonts w:hint="eastAsia"/>
                      <w:color w:val="000000"/>
                      <w:szCs w:val="21"/>
                    </w:rPr>
                    <w:t>，比表面积≥</w:t>
                  </w:r>
                  <w:r>
                    <w:rPr>
                      <w:color w:val="000000"/>
                      <w:szCs w:val="21"/>
                    </w:rPr>
                    <w:t>750m</w:t>
                  </w:r>
                  <w:r>
                    <w:rPr>
                      <w:color w:val="000000"/>
                      <w:szCs w:val="21"/>
                      <w:vertAlign w:val="superscript"/>
                    </w:rPr>
                    <w:t>2</w:t>
                  </w:r>
                  <w:r>
                    <w:rPr>
                      <w:color w:val="000000"/>
                      <w:szCs w:val="21"/>
                    </w:rPr>
                    <w:t>/g</w:t>
                  </w:r>
                  <w:r>
                    <w:rPr>
                      <w:rFonts w:hint="eastAsia"/>
                      <w:color w:val="000000"/>
                      <w:szCs w:val="21"/>
                    </w:rPr>
                    <w:t>。工业有机废气治理用活性炭常规及推荐技术指标详见附件</w:t>
                  </w:r>
                  <w:r>
                    <w:rPr>
                      <w:color w:val="000000"/>
                      <w:szCs w:val="21"/>
                    </w:rPr>
                    <w:t>2</w:t>
                  </w:r>
                  <w:r>
                    <w:rPr>
                      <w:rFonts w:hint="eastAsia"/>
                      <w:color w:val="000000"/>
                      <w:szCs w:val="21"/>
                    </w:rPr>
                    <w:t>。企业应备好所购活性炭厂家关于活性炭碘值、比表面积等相关证明材料。</w:t>
                  </w:r>
                </w:p>
              </w:tc>
              <w:tc>
                <w:tcPr>
                  <w:tcW w:w="1672" w:type="pct"/>
                  <w:vAlign w:val="center"/>
                </w:tcPr>
                <w:p>
                  <w:pPr>
                    <w:jc w:val="center"/>
                    <w:rPr>
                      <w:color w:val="000000"/>
                      <w:szCs w:val="21"/>
                    </w:rPr>
                  </w:pPr>
                  <w:r>
                    <w:rPr>
                      <w:rFonts w:hint="eastAsia"/>
                      <w:color w:val="000000"/>
                      <w:szCs w:val="21"/>
                    </w:rPr>
                    <w:t>本项目使用蜂窝活性炭，蜂窝活性炭横向抗压强度应不低于</w:t>
                  </w:r>
                  <w:r>
                    <w:rPr>
                      <w:color w:val="000000"/>
                      <w:szCs w:val="21"/>
                    </w:rPr>
                    <w:t>0.9MPa</w:t>
                  </w:r>
                  <w:r>
                    <w:rPr>
                      <w:rFonts w:hint="eastAsia"/>
                      <w:color w:val="000000"/>
                      <w:szCs w:val="21"/>
                    </w:rPr>
                    <w:t>，纵向强度应不低于</w:t>
                  </w:r>
                  <w:r>
                    <w:rPr>
                      <w:color w:val="000000"/>
                      <w:szCs w:val="21"/>
                    </w:rPr>
                    <w:t>0.4MPa</w:t>
                  </w:r>
                  <w:r>
                    <w:rPr>
                      <w:rFonts w:hint="eastAsia"/>
                      <w:color w:val="000000"/>
                      <w:szCs w:val="21"/>
                    </w:rPr>
                    <w:t>，碘吸附值≥</w:t>
                  </w:r>
                  <w:r>
                    <w:rPr>
                      <w:color w:val="000000"/>
                      <w:szCs w:val="21"/>
                    </w:rPr>
                    <w:t>650mg/g</w:t>
                  </w:r>
                  <w:r>
                    <w:rPr>
                      <w:rFonts w:hint="eastAsia"/>
                      <w:color w:val="000000"/>
                      <w:szCs w:val="21"/>
                    </w:rPr>
                    <w:t>，比表面积≥</w:t>
                  </w:r>
                  <w:r>
                    <w:rPr>
                      <w:color w:val="000000"/>
                      <w:szCs w:val="21"/>
                    </w:rPr>
                    <w:t>750m</w:t>
                  </w:r>
                  <w:r>
                    <w:rPr>
                      <w:color w:val="000000"/>
                      <w:szCs w:val="21"/>
                      <w:vertAlign w:val="superscript"/>
                    </w:rPr>
                    <w:t>2</w:t>
                  </w:r>
                  <w:r>
                    <w:rPr>
                      <w:color w:val="000000"/>
                      <w:szCs w:val="21"/>
                    </w:rPr>
                    <w:t>/g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Align w:val="center"/>
                </w:tcPr>
                <w:p>
                  <w:pPr>
                    <w:jc w:val="center"/>
                    <w:rPr>
                      <w:color w:val="000000"/>
                      <w:szCs w:val="21"/>
                    </w:rPr>
                  </w:pPr>
                  <w:r>
                    <w:rPr>
                      <w:rFonts w:hint="eastAsia"/>
                      <w:color w:val="000000"/>
                      <w:szCs w:val="21"/>
                    </w:rPr>
                    <w:t>活性炭填充量</w:t>
                  </w:r>
                </w:p>
              </w:tc>
              <w:tc>
                <w:tcPr>
                  <w:tcW w:w="2791" w:type="pct"/>
                  <w:vAlign w:val="center"/>
                </w:tcPr>
                <w:p>
                  <w:pPr>
                    <w:jc w:val="center"/>
                    <w:rPr>
                      <w:color w:val="000000"/>
                      <w:szCs w:val="21"/>
                    </w:rPr>
                  </w:pPr>
                  <w:r>
                    <w:rPr>
                      <w:rFonts w:hint="eastAsia"/>
                      <w:color w:val="000000"/>
                      <w:szCs w:val="21"/>
                    </w:rPr>
                    <w:t>采用一次性颗粒状活性炭处理</w:t>
                  </w:r>
                  <w:r>
                    <w:rPr>
                      <w:color w:val="000000"/>
                      <w:szCs w:val="21"/>
                    </w:rPr>
                    <w:t>VOCs</w:t>
                  </w:r>
                  <w:r>
                    <w:rPr>
                      <w:rFonts w:hint="eastAsia"/>
                      <w:color w:val="000000"/>
                      <w:szCs w:val="21"/>
                    </w:rPr>
                    <w:t>废气，年活性炭使用量不应低于</w:t>
                  </w:r>
                  <w:r>
                    <w:rPr>
                      <w:color w:val="000000"/>
                      <w:szCs w:val="21"/>
                    </w:rPr>
                    <w:t>VOCs</w:t>
                  </w:r>
                  <w:r>
                    <w:rPr>
                      <w:rFonts w:hint="eastAsia"/>
                      <w:color w:val="000000"/>
                      <w:szCs w:val="21"/>
                    </w:rPr>
                    <w:t>产生量的</w:t>
                  </w:r>
                  <w:r>
                    <w:rPr>
                      <w:color w:val="000000"/>
                      <w:szCs w:val="21"/>
                    </w:rPr>
                    <w:t>5</w:t>
                  </w:r>
                  <w:r>
                    <w:rPr>
                      <w:rFonts w:hint="eastAsia"/>
                      <w:color w:val="000000"/>
                      <w:szCs w:val="21"/>
                    </w:rPr>
                    <w:t>倍，即</w:t>
                  </w:r>
                  <w:r>
                    <w:rPr>
                      <w:color w:val="000000"/>
                      <w:szCs w:val="21"/>
                    </w:rPr>
                    <w:t>1</w:t>
                  </w:r>
                  <w:r>
                    <w:rPr>
                      <w:rFonts w:hint="eastAsia"/>
                      <w:color w:val="000000"/>
                      <w:szCs w:val="21"/>
                    </w:rPr>
                    <w:t>吨</w:t>
                  </w:r>
                  <w:r>
                    <w:rPr>
                      <w:color w:val="000000"/>
                      <w:szCs w:val="21"/>
                    </w:rPr>
                    <w:t>VOCs</w:t>
                  </w:r>
                  <w:r>
                    <w:rPr>
                      <w:rFonts w:hint="eastAsia"/>
                      <w:color w:val="000000"/>
                      <w:szCs w:val="21"/>
                    </w:rPr>
                    <w:t>产生量，需</w:t>
                  </w:r>
                  <w:r>
                    <w:rPr>
                      <w:color w:val="000000"/>
                      <w:szCs w:val="21"/>
                    </w:rPr>
                    <w:t>5</w:t>
                  </w:r>
                  <w:r>
                    <w:rPr>
                      <w:rFonts w:hint="eastAsia"/>
                      <w:color w:val="000000"/>
                      <w:szCs w:val="21"/>
                    </w:rPr>
                    <w:t>吨活性炭用于吸附。活性炭更换周期一般不应超过累计运行</w:t>
                  </w:r>
                  <w:r>
                    <w:rPr>
                      <w:color w:val="000000"/>
                      <w:szCs w:val="21"/>
                    </w:rPr>
                    <w:t>500</w:t>
                  </w:r>
                  <w:r>
                    <w:rPr>
                      <w:rFonts w:hint="eastAsia"/>
                      <w:color w:val="000000"/>
                      <w:szCs w:val="21"/>
                    </w:rPr>
                    <w:t>小时或</w:t>
                  </w:r>
                  <w:r>
                    <w:rPr>
                      <w:color w:val="000000"/>
                      <w:szCs w:val="21"/>
                    </w:rPr>
                    <w:t>3</w:t>
                  </w:r>
                  <w:r>
                    <w:rPr>
                      <w:rFonts w:hint="eastAsia"/>
                      <w:color w:val="000000"/>
                      <w:szCs w:val="21"/>
                    </w:rPr>
                    <w:t>个月，更换周期计算按《省生态环境厅关于将排污单位活性炭使用更换纳入排污许可管理的通知》有关要求执行。</w:t>
                  </w:r>
                </w:p>
              </w:tc>
              <w:tc>
                <w:tcPr>
                  <w:tcW w:w="1672" w:type="pct"/>
                  <w:vAlign w:val="center"/>
                </w:tcPr>
                <w:p>
                  <w:pPr>
                    <w:jc w:val="center"/>
                    <w:rPr>
                      <w:color w:val="000000"/>
                      <w:szCs w:val="21"/>
                    </w:rPr>
                  </w:pPr>
                  <w:r>
                    <w:rPr>
                      <w:rFonts w:hint="eastAsia"/>
                      <w:color w:val="000000"/>
                      <w:szCs w:val="21"/>
                    </w:rPr>
                    <w:t>活性炭更换周期为</w:t>
                  </w:r>
                  <w:r>
                    <w:rPr>
                      <w:color w:val="000000"/>
                      <w:szCs w:val="21"/>
                    </w:rPr>
                    <w:t>3</w:t>
                  </w:r>
                  <w:r>
                    <w:rPr>
                      <w:rFonts w:hint="eastAsia"/>
                      <w:color w:val="000000"/>
                      <w:szCs w:val="21"/>
                    </w:rPr>
                    <w:t>个月</w:t>
                  </w:r>
                </w:p>
              </w:tc>
            </w:tr>
          </w:tbl>
          <w:p>
            <w:pPr>
              <w:pStyle w:val="6"/>
              <w:spacing w:before="0" w:after="0" w:line="360" w:lineRule="auto"/>
              <w:ind w:firstLine="480" w:firstLineChars="200"/>
              <w:rPr>
                <w:b w:val="0"/>
                <w:bCs w:val="0"/>
                <w:color w:val="000000"/>
                <w:sz w:val="24"/>
                <w:szCs w:val="24"/>
              </w:rPr>
            </w:pPr>
            <w:r>
              <w:rPr>
                <w:rFonts w:hint="eastAsia"/>
                <w:b w:val="0"/>
                <w:bCs w:val="0"/>
                <w:color w:val="000000"/>
                <w:sz w:val="24"/>
                <w:szCs w:val="24"/>
              </w:rPr>
              <w:t>③</w:t>
            </w:r>
            <w:r>
              <w:rPr>
                <w:b w:val="0"/>
                <w:bCs w:val="0"/>
                <w:color w:val="000000"/>
                <w:sz w:val="24"/>
                <w:szCs w:val="24"/>
              </w:rPr>
              <w:t>根据《排污许可证申请与核发技术规范 电子工业》（HJ1031—2019）附录B的表B.1，并结合本项目废气产生实际情况，企业与排污许可证申请与核发技术规范中污染防治可行技术相符性分析如下：</w:t>
            </w:r>
          </w:p>
          <w:p>
            <w:pPr>
              <w:spacing w:before="60"/>
              <w:jc w:val="center"/>
              <w:rPr>
                <w:b/>
                <w:color w:val="000000"/>
                <w:sz w:val="24"/>
              </w:rPr>
            </w:pPr>
            <w:r>
              <w:rPr>
                <w:b/>
                <w:color w:val="000000"/>
                <w:sz w:val="24"/>
              </w:rPr>
              <w:t>表4-</w:t>
            </w:r>
            <w:r>
              <w:rPr>
                <w:rFonts w:hint="eastAsia"/>
                <w:b/>
                <w:color w:val="000000"/>
                <w:sz w:val="24"/>
              </w:rPr>
              <w:t>11</w:t>
            </w:r>
            <w:r>
              <w:rPr>
                <w:b/>
                <w:color w:val="000000"/>
                <w:sz w:val="24"/>
              </w:rPr>
              <w:t xml:space="preserve"> 与“废气治理可行技术参考表”相符性分析</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1"/>
              <w:gridCol w:w="1554"/>
              <w:gridCol w:w="2037"/>
              <w:gridCol w:w="3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27" w:type="pct"/>
                  <w:vAlign w:val="center"/>
                </w:tcPr>
                <w:p>
                  <w:pPr>
                    <w:widowControl/>
                    <w:snapToGrid w:val="0"/>
                    <w:jc w:val="center"/>
                    <w:textAlignment w:val="center"/>
                    <w:rPr>
                      <w:b/>
                      <w:bCs/>
                      <w:color w:val="000000"/>
                      <w:kern w:val="0"/>
                      <w:szCs w:val="21"/>
                      <w:lang w:bidi="ar"/>
                    </w:rPr>
                  </w:pPr>
                  <w:r>
                    <w:rPr>
                      <w:b/>
                      <w:bCs/>
                      <w:color w:val="000000"/>
                      <w:kern w:val="0"/>
                      <w:szCs w:val="21"/>
                      <w:lang w:bidi="ar"/>
                    </w:rPr>
                    <w:t>产排污环节</w:t>
                  </w:r>
                </w:p>
              </w:tc>
              <w:tc>
                <w:tcPr>
                  <w:tcW w:w="857" w:type="pct"/>
                  <w:vAlign w:val="center"/>
                </w:tcPr>
                <w:p>
                  <w:pPr>
                    <w:widowControl/>
                    <w:snapToGrid w:val="0"/>
                    <w:jc w:val="center"/>
                    <w:textAlignment w:val="center"/>
                    <w:rPr>
                      <w:b/>
                      <w:bCs/>
                      <w:color w:val="000000"/>
                      <w:kern w:val="0"/>
                      <w:szCs w:val="21"/>
                      <w:lang w:bidi="ar"/>
                    </w:rPr>
                  </w:pPr>
                  <w:r>
                    <w:rPr>
                      <w:b/>
                      <w:bCs/>
                      <w:color w:val="000000"/>
                      <w:kern w:val="0"/>
                      <w:szCs w:val="21"/>
                      <w:lang w:bidi="ar"/>
                    </w:rPr>
                    <w:t>污染物种类</w:t>
                  </w:r>
                </w:p>
              </w:tc>
              <w:tc>
                <w:tcPr>
                  <w:tcW w:w="1123" w:type="pct"/>
                  <w:vAlign w:val="center"/>
                </w:tcPr>
                <w:p>
                  <w:pPr>
                    <w:widowControl/>
                    <w:snapToGrid w:val="0"/>
                    <w:jc w:val="center"/>
                    <w:textAlignment w:val="center"/>
                    <w:rPr>
                      <w:b/>
                      <w:bCs/>
                      <w:color w:val="000000"/>
                      <w:kern w:val="0"/>
                      <w:szCs w:val="21"/>
                      <w:lang w:bidi="ar"/>
                    </w:rPr>
                  </w:pPr>
                  <w:r>
                    <w:rPr>
                      <w:b/>
                      <w:bCs/>
                      <w:color w:val="000000"/>
                      <w:kern w:val="0"/>
                      <w:szCs w:val="21"/>
                      <w:lang w:bidi="ar"/>
                    </w:rPr>
                    <w:t>可行技术</w:t>
                  </w:r>
                </w:p>
              </w:tc>
              <w:tc>
                <w:tcPr>
                  <w:tcW w:w="2091" w:type="pct"/>
                  <w:vAlign w:val="center"/>
                </w:tcPr>
                <w:p>
                  <w:pPr>
                    <w:widowControl/>
                    <w:snapToGrid w:val="0"/>
                    <w:jc w:val="center"/>
                    <w:textAlignment w:val="center"/>
                    <w:rPr>
                      <w:b/>
                      <w:bCs/>
                      <w:color w:val="000000"/>
                      <w:kern w:val="0"/>
                      <w:szCs w:val="21"/>
                      <w:lang w:bidi="ar"/>
                    </w:rPr>
                  </w:pPr>
                  <w:r>
                    <w:rPr>
                      <w:b/>
                      <w:bCs/>
                      <w:color w:val="000000"/>
                      <w:kern w:val="0"/>
                      <w:szCs w:val="21"/>
                      <w:lang w:bidi="ar"/>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927" w:type="pct"/>
                  <w:vAlign w:val="center"/>
                </w:tcPr>
                <w:p>
                  <w:pPr>
                    <w:widowControl/>
                    <w:snapToGrid w:val="0"/>
                    <w:jc w:val="center"/>
                    <w:textAlignment w:val="center"/>
                    <w:rPr>
                      <w:color w:val="000000"/>
                      <w:kern w:val="0"/>
                      <w:szCs w:val="21"/>
                      <w:lang w:bidi="ar"/>
                    </w:rPr>
                  </w:pPr>
                  <w:r>
                    <w:rPr>
                      <w:color w:val="000000"/>
                      <w:kern w:val="0"/>
                      <w:szCs w:val="21"/>
                      <w:lang w:bidi="ar"/>
                    </w:rPr>
                    <w:t>电子电路制造排污单位</w:t>
                  </w:r>
                </w:p>
              </w:tc>
              <w:tc>
                <w:tcPr>
                  <w:tcW w:w="857" w:type="pct"/>
                  <w:vAlign w:val="center"/>
                </w:tcPr>
                <w:p>
                  <w:pPr>
                    <w:widowControl/>
                    <w:snapToGrid w:val="0"/>
                    <w:jc w:val="center"/>
                    <w:textAlignment w:val="center"/>
                    <w:rPr>
                      <w:color w:val="000000"/>
                      <w:kern w:val="0"/>
                      <w:szCs w:val="21"/>
                      <w:lang w:bidi="ar"/>
                    </w:rPr>
                  </w:pPr>
                  <w:r>
                    <w:rPr>
                      <w:color w:val="000000"/>
                      <w:kern w:val="0"/>
                      <w:szCs w:val="21"/>
                      <w:lang w:bidi="ar"/>
                    </w:rPr>
                    <w:t>非甲烷总烃</w:t>
                  </w:r>
                </w:p>
              </w:tc>
              <w:tc>
                <w:tcPr>
                  <w:tcW w:w="1123" w:type="pct"/>
                  <w:vAlign w:val="center"/>
                </w:tcPr>
                <w:p>
                  <w:pPr>
                    <w:widowControl/>
                    <w:snapToGrid w:val="0"/>
                    <w:jc w:val="center"/>
                    <w:textAlignment w:val="center"/>
                    <w:rPr>
                      <w:color w:val="000000"/>
                      <w:kern w:val="0"/>
                      <w:szCs w:val="21"/>
                      <w:lang w:bidi="ar"/>
                    </w:rPr>
                  </w:pPr>
                  <w:r>
                    <w:rPr>
                      <w:color w:val="000000"/>
                      <w:kern w:val="0"/>
                      <w:szCs w:val="21"/>
                      <w:lang w:bidi="ar"/>
                    </w:rPr>
                    <w:t>活性炭吸附法，燃烧法，浓缩+燃烧法</w:t>
                  </w:r>
                </w:p>
              </w:tc>
              <w:tc>
                <w:tcPr>
                  <w:tcW w:w="2091" w:type="pct"/>
                  <w:vAlign w:val="center"/>
                </w:tcPr>
                <w:p>
                  <w:pPr>
                    <w:widowControl/>
                    <w:snapToGrid w:val="0"/>
                    <w:jc w:val="center"/>
                    <w:rPr>
                      <w:color w:val="000000"/>
                      <w:sz w:val="24"/>
                    </w:rPr>
                  </w:pPr>
                  <w:r>
                    <w:rPr>
                      <w:color w:val="000000"/>
                      <w:kern w:val="0"/>
                      <w:szCs w:val="21"/>
                      <w:lang w:bidi="ar"/>
                    </w:rPr>
                    <w:t>本项目使用活性炭吸附处理有机废气，属于可行技术中的“吸附”</w:t>
                  </w:r>
                </w:p>
              </w:tc>
            </w:tr>
          </w:tbl>
          <w:p>
            <w:pPr>
              <w:widowControl/>
              <w:spacing w:line="360" w:lineRule="auto"/>
              <w:ind w:firstLine="480" w:firstLineChars="200"/>
              <w:jc w:val="left"/>
              <w:rPr>
                <w:color w:val="000000"/>
                <w:sz w:val="24"/>
              </w:rPr>
            </w:pPr>
            <w:r>
              <w:rPr>
                <w:color w:val="000000"/>
                <w:sz w:val="24"/>
              </w:rPr>
              <w:t>综上，本项目车间有机废气采用活性炭吸附处理后达标排放是可行的。</w:t>
            </w:r>
          </w:p>
          <w:p>
            <w:pPr>
              <w:tabs>
                <w:tab w:val="left" w:pos="0"/>
              </w:tabs>
              <w:spacing w:line="360" w:lineRule="auto"/>
              <w:jc w:val="left"/>
              <w:rPr>
                <w:b/>
                <w:color w:val="000000"/>
                <w:sz w:val="24"/>
              </w:rPr>
            </w:pPr>
            <w:r>
              <w:rPr>
                <w:b/>
                <w:color w:val="000000"/>
                <w:sz w:val="24"/>
              </w:rPr>
              <w:t>4.1.4污染物达标分析</w:t>
            </w:r>
          </w:p>
          <w:p>
            <w:pPr>
              <w:pStyle w:val="6"/>
              <w:spacing w:before="0" w:after="0" w:line="360" w:lineRule="auto"/>
              <w:ind w:firstLine="480" w:firstLineChars="200"/>
              <w:rPr>
                <w:b w:val="0"/>
                <w:bCs w:val="0"/>
                <w:color w:val="000000"/>
                <w:sz w:val="24"/>
                <w:szCs w:val="24"/>
              </w:rPr>
            </w:pPr>
            <w:r>
              <w:rPr>
                <w:b w:val="0"/>
                <w:bCs w:val="0"/>
                <w:color w:val="000000"/>
                <w:sz w:val="24"/>
                <w:szCs w:val="24"/>
              </w:rPr>
              <w:t>本项目生产过程中产生的非甲烷总烃经</w:t>
            </w:r>
            <w:r>
              <w:rPr>
                <w:rFonts w:hint="eastAsia"/>
                <w:b w:val="0"/>
                <w:bCs w:val="0"/>
                <w:color w:val="000000"/>
                <w:sz w:val="24"/>
                <w:szCs w:val="24"/>
              </w:rPr>
              <w:t>集气罩</w:t>
            </w:r>
            <w:r>
              <w:rPr>
                <w:b w:val="0"/>
                <w:bCs w:val="0"/>
                <w:color w:val="000000"/>
                <w:sz w:val="24"/>
                <w:szCs w:val="24"/>
              </w:rPr>
              <w:t>收集后，通过活性炭吸附装置吸附处理后由15m高的</w:t>
            </w:r>
            <w:r>
              <w:rPr>
                <w:rFonts w:hint="eastAsia"/>
                <w:b w:val="0"/>
                <w:bCs w:val="0"/>
                <w:color w:val="000000"/>
                <w:sz w:val="24"/>
                <w:szCs w:val="24"/>
              </w:rPr>
              <w:t>DA001和DA002</w:t>
            </w:r>
            <w:r>
              <w:rPr>
                <w:b w:val="0"/>
                <w:bCs w:val="0"/>
                <w:color w:val="000000"/>
                <w:sz w:val="24"/>
                <w:szCs w:val="24"/>
              </w:rPr>
              <w:t>排气筒达标排放，项目非甲烷总烃排放满足《大气污染物综合排放标准》（DB32/4041-2021），预计对周围大气环境影响较小。</w:t>
            </w:r>
          </w:p>
          <w:p>
            <w:pPr>
              <w:tabs>
                <w:tab w:val="left" w:pos="0"/>
              </w:tabs>
              <w:spacing w:line="360" w:lineRule="auto"/>
              <w:jc w:val="left"/>
              <w:rPr>
                <w:b/>
                <w:color w:val="000000"/>
                <w:sz w:val="24"/>
              </w:rPr>
            </w:pPr>
            <w:r>
              <w:rPr>
                <w:b/>
                <w:color w:val="000000"/>
                <w:sz w:val="24"/>
              </w:rPr>
              <w:t>4.1.5废气监测要求</w:t>
            </w:r>
          </w:p>
          <w:p>
            <w:pPr>
              <w:tabs>
                <w:tab w:val="left" w:pos="0"/>
              </w:tabs>
              <w:spacing w:line="360" w:lineRule="auto"/>
              <w:ind w:firstLine="480" w:firstLineChars="200"/>
              <w:jc w:val="left"/>
              <w:rPr>
                <w:bCs/>
                <w:color w:val="000000"/>
                <w:sz w:val="24"/>
              </w:rPr>
            </w:pPr>
            <w:r>
              <w:rPr>
                <w:bCs/>
                <w:color w:val="000000"/>
                <w:sz w:val="24"/>
              </w:rPr>
              <w:t>本项目有关废气污染源监测点、监测项目及监测频次见下表：</w:t>
            </w:r>
          </w:p>
          <w:p>
            <w:pPr>
              <w:spacing w:before="60"/>
              <w:jc w:val="center"/>
              <w:rPr>
                <w:b/>
                <w:color w:val="000000"/>
                <w:sz w:val="24"/>
              </w:rPr>
            </w:pPr>
            <w:r>
              <w:rPr>
                <w:b/>
                <w:color w:val="000000"/>
                <w:sz w:val="24"/>
              </w:rPr>
              <w:t>表4-</w:t>
            </w:r>
            <w:r>
              <w:rPr>
                <w:rFonts w:hint="eastAsia"/>
                <w:b/>
                <w:color w:val="000000"/>
                <w:sz w:val="24"/>
              </w:rPr>
              <w:t>12</w:t>
            </w:r>
            <w:r>
              <w:rPr>
                <w:b/>
                <w:color w:val="000000"/>
                <w:sz w:val="24"/>
              </w:rPr>
              <w:t xml:space="preserve"> 废气污染源监测内容</w:t>
            </w:r>
          </w:p>
          <w:tbl>
            <w:tblPr>
              <w:tblStyle w:val="20"/>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41"/>
              <w:gridCol w:w="2023"/>
              <w:gridCol w:w="1306"/>
              <w:gridCol w:w="1260"/>
              <w:gridCol w:w="3345"/>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5" w:hRule="atLeast"/>
                <w:jc w:val="center"/>
              </w:trPr>
              <w:tc>
                <w:tcPr>
                  <w:tcW w:w="629" w:type="pct"/>
                  <w:vAlign w:val="center"/>
                </w:tcPr>
                <w:p>
                  <w:pPr>
                    <w:tabs>
                      <w:tab w:val="left" w:pos="0"/>
                      <w:tab w:val="left" w:pos="5940"/>
                    </w:tabs>
                    <w:jc w:val="center"/>
                    <w:rPr>
                      <w:b/>
                      <w:bCs/>
                      <w:color w:val="000000"/>
                      <w:szCs w:val="21"/>
                    </w:rPr>
                  </w:pPr>
                  <w:r>
                    <w:rPr>
                      <w:b/>
                      <w:bCs/>
                      <w:color w:val="000000"/>
                      <w:szCs w:val="21"/>
                    </w:rPr>
                    <w:t>类型</w:t>
                  </w:r>
                </w:p>
              </w:tc>
              <w:tc>
                <w:tcPr>
                  <w:tcW w:w="1114" w:type="pct"/>
                  <w:vAlign w:val="center"/>
                </w:tcPr>
                <w:p>
                  <w:pPr>
                    <w:tabs>
                      <w:tab w:val="left" w:pos="0"/>
                    </w:tabs>
                    <w:jc w:val="center"/>
                    <w:rPr>
                      <w:b/>
                      <w:bCs/>
                      <w:color w:val="000000"/>
                      <w:szCs w:val="21"/>
                    </w:rPr>
                  </w:pPr>
                  <w:r>
                    <w:rPr>
                      <w:b/>
                      <w:bCs/>
                      <w:color w:val="000000"/>
                      <w:szCs w:val="21"/>
                    </w:rPr>
                    <w:t>监测项目</w:t>
                  </w:r>
                </w:p>
              </w:tc>
              <w:tc>
                <w:tcPr>
                  <w:tcW w:w="719" w:type="pct"/>
                  <w:vAlign w:val="center"/>
                </w:tcPr>
                <w:p>
                  <w:pPr>
                    <w:tabs>
                      <w:tab w:val="left" w:pos="0"/>
                    </w:tabs>
                    <w:jc w:val="center"/>
                    <w:rPr>
                      <w:b/>
                      <w:bCs/>
                      <w:color w:val="000000"/>
                      <w:szCs w:val="21"/>
                    </w:rPr>
                  </w:pPr>
                  <w:r>
                    <w:rPr>
                      <w:b/>
                      <w:bCs/>
                      <w:color w:val="000000"/>
                      <w:szCs w:val="21"/>
                    </w:rPr>
                    <w:t>监测点位</w:t>
                  </w:r>
                </w:p>
              </w:tc>
              <w:tc>
                <w:tcPr>
                  <w:tcW w:w="694" w:type="pct"/>
                  <w:vAlign w:val="center"/>
                </w:tcPr>
                <w:p>
                  <w:pPr>
                    <w:tabs>
                      <w:tab w:val="left" w:pos="0"/>
                    </w:tabs>
                    <w:jc w:val="center"/>
                    <w:rPr>
                      <w:b/>
                      <w:bCs/>
                      <w:color w:val="000000"/>
                      <w:szCs w:val="21"/>
                    </w:rPr>
                  </w:pPr>
                  <w:r>
                    <w:rPr>
                      <w:b/>
                      <w:bCs/>
                      <w:color w:val="000000"/>
                      <w:szCs w:val="21"/>
                    </w:rPr>
                    <w:t>监测频次</w:t>
                  </w:r>
                </w:p>
              </w:tc>
              <w:tc>
                <w:tcPr>
                  <w:tcW w:w="1842" w:type="pct"/>
                  <w:vAlign w:val="center"/>
                </w:tcPr>
                <w:p>
                  <w:pPr>
                    <w:tabs>
                      <w:tab w:val="left" w:pos="0"/>
                    </w:tabs>
                    <w:jc w:val="center"/>
                    <w:rPr>
                      <w:b/>
                      <w:bCs/>
                      <w:color w:val="000000"/>
                      <w:szCs w:val="21"/>
                    </w:rPr>
                  </w:pPr>
                  <w:r>
                    <w:rPr>
                      <w:b/>
                      <w:bCs/>
                      <w:color w:val="000000"/>
                      <w:szCs w:val="21"/>
                    </w:rPr>
                    <w:t>排放标准</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29" w:type="pct"/>
                  <w:vMerge w:val="restart"/>
                  <w:vAlign w:val="center"/>
                </w:tcPr>
                <w:p>
                  <w:pPr>
                    <w:tabs>
                      <w:tab w:val="left" w:pos="0"/>
                      <w:tab w:val="left" w:pos="5940"/>
                    </w:tabs>
                    <w:jc w:val="center"/>
                    <w:rPr>
                      <w:color w:val="000000"/>
                      <w:szCs w:val="21"/>
                    </w:rPr>
                  </w:pPr>
                  <w:r>
                    <w:rPr>
                      <w:color w:val="000000"/>
                      <w:szCs w:val="21"/>
                    </w:rPr>
                    <w:t>有组织废气</w:t>
                  </w:r>
                </w:p>
              </w:tc>
              <w:tc>
                <w:tcPr>
                  <w:tcW w:w="1114" w:type="pct"/>
                  <w:vAlign w:val="center"/>
                </w:tcPr>
                <w:p>
                  <w:pPr>
                    <w:tabs>
                      <w:tab w:val="left" w:pos="0"/>
                      <w:tab w:val="left" w:pos="5940"/>
                    </w:tabs>
                    <w:jc w:val="center"/>
                    <w:rPr>
                      <w:color w:val="000000"/>
                      <w:szCs w:val="21"/>
                    </w:rPr>
                  </w:pPr>
                  <w:r>
                    <w:rPr>
                      <w:color w:val="000000"/>
                      <w:szCs w:val="21"/>
                    </w:rPr>
                    <w:t>非甲烷总烃</w:t>
                  </w:r>
                </w:p>
              </w:tc>
              <w:tc>
                <w:tcPr>
                  <w:tcW w:w="719" w:type="pct"/>
                  <w:vAlign w:val="center"/>
                </w:tcPr>
                <w:p>
                  <w:pPr>
                    <w:tabs>
                      <w:tab w:val="left" w:pos="0"/>
                      <w:tab w:val="left" w:pos="5940"/>
                    </w:tabs>
                    <w:jc w:val="center"/>
                    <w:rPr>
                      <w:color w:val="000000"/>
                      <w:szCs w:val="21"/>
                    </w:rPr>
                  </w:pPr>
                  <w:r>
                    <w:rPr>
                      <w:rFonts w:hint="eastAsia"/>
                      <w:color w:val="000000"/>
                      <w:szCs w:val="21"/>
                    </w:rPr>
                    <w:t>DA001</w:t>
                  </w:r>
                </w:p>
              </w:tc>
              <w:tc>
                <w:tcPr>
                  <w:tcW w:w="694" w:type="pct"/>
                  <w:vAlign w:val="center"/>
                </w:tcPr>
                <w:p>
                  <w:pPr>
                    <w:tabs>
                      <w:tab w:val="left" w:pos="0"/>
                      <w:tab w:val="left" w:pos="5940"/>
                    </w:tabs>
                    <w:jc w:val="center"/>
                    <w:rPr>
                      <w:color w:val="000000"/>
                      <w:szCs w:val="21"/>
                    </w:rPr>
                  </w:pPr>
                  <w:r>
                    <w:rPr>
                      <w:color w:val="000000"/>
                      <w:szCs w:val="21"/>
                    </w:rPr>
                    <w:t>1次/年</w:t>
                  </w:r>
                </w:p>
              </w:tc>
              <w:tc>
                <w:tcPr>
                  <w:tcW w:w="1842" w:type="pct"/>
                  <w:vAlign w:val="center"/>
                </w:tcPr>
                <w:p>
                  <w:pPr>
                    <w:tabs>
                      <w:tab w:val="left" w:pos="0"/>
                      <w:tab w:val="left" w:pos="5940"/>
                    </w:tabs>
                    <w:jc w:val="center"/>
                    <w:rPr>
                      <w:color w:val="000000"/>
                      <w:szCs w:val="21"/>
                    </w:rPr>
                  </w:pPr>
                  <w:r>
                    <w:rPr>
                      <w:color w:val="000000"/>
                      <w:szCs w:val="21"/>
                    </w:rPr>
                    <w:t>《大气污染物综合排放标准》（DB32/4041—2021）</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29" w:type="pct"/>
                  <w:vMerge w:val="continue"/>
                  <w:vAlign w:val="center"/>
                </w:tcPr>
                <w:p>
                  <w:pPr>
                    <w:tabs>
                      <w:tab w:val="left" w:pos="0"/>
                      <w:tab w:val="left" w:pos="5940"/>
                    </w:tabs>
                    <w:jc w:val="center"/>
                    <w:rPr>
                      <w:color w:val="000000"/>
                      <w:szCs w:val="21"/>
                    </w:rPr>
                  </w:pPr>
                </w:p>
              </w:tc>
              <w:tc>
                <w:tcPr>
                  <w:tcW w:w="1114" w:type="pct"/>
                  <w:vAlign w:val="center"/>
                </w:tcPr>
                <w:p>
                  <w:pPr>
                    <w:tabs>
                      <w:tab w:val="left" w:pos="0"/>
                      <w:tab w:val="left" w:pos="5940"/>
                    </w:tabs>
                    <w:jc w:val="center"/>
                    <w:rPr>
                      <w:color w:val="000000"/>
                      <w:szCs w:val="21"/>
                    </w:rPr>
                  </w:pPr>
                  <w:r>
                    <w:rPr>
                      <w:color w:val="000000"/>
                      <w:szCs w:val="21"/>
                    </w:rPr>
                    <w:t>非甲烷总烃</w:t>
                  </w:r>
                </w:p>
              </w:tc>
              <w:tc>
                <w:tcPr>
                  <w:tcW w:w="719" w:type="pct"/>
                  <w:vAlign w:val="center"/>
                </w:tcPr>
                <w:p>
                  <w:pPr>
                    <w:tabs>
                      <w:tab w:val="left" w:pos="0"/>
                      <w:tab w:val="left" w:pos="5940"/>
                    </w:tabs>
                    <w:jc w:val="center"/>
                    <w:rPr>
                      <w:color w:val="000000"/>
                      <w:szCs w:val="21"/>
                    </w:rPr>
                  </w:pPr>
                  <w:r>
                    <w:rPr>
                      <w:rFonts w:hint="eastAsia"/>
                      <w:color w:val="000000"/>
                      <w:szCs w:val="21"/>
                    </w:rPr>
                    <w:t>DA002</w:t>
                  </w:r>
                </w:p>
              </w:tc>
              <w:tc>
                <w:tcPr>
                  <w:tcW w:w="694" w:type="pct"/>
                  <w:vAlign w:val="center"/>
                </w:tcPr>
                <w:p>
                  <w:pPr>
                    <w:tabs>
                      <w:tab w:val="left" w:pos="0"/>
                      <w:tab w:val="left" w:pos="5940"/>
                    </w:tabs>
                    <w:jc w:val="center"/>
                    <w:rPr>
                      <w:color w:val="000000"/>
                      <w:szCs w:val="21"/>
                    </w:rPr>
                  </w:pPr>
                  <w:r>
                    <w:rPr>
                      <w:color w:val="000000"/>
                      <w:szCs w:val="21"/>
                    </w:rPr>
                    <w:t>1次/年</w:t>
                  </w:r>
                </w:p>
              </w:tc>
              <w:tc>
                <w:tcPr>
                  <w:tcW w:w="1842" w:type="pct"/>
                  <w:vAlign w:val="center"/>
                </w:tcPr>
                <w:p>
                  <w:pPr>
                    <w:tabs>
                      <w:tab w:val="left" w:pos="0"/>
                      <w:tab w:val="left" w:pos="5940"/>
                    </w:tabs>
                    <w:jc w:val="center"/>
                    <w:rPr>
                      <w:color w:val="000000"/>
                      <w:szCs w:val="21"/>
                    </w:rPr>
                  </w:pPr>
                  <w:r>
                    <w:rPr>
                      <w:color w:val="000000"/>
                      <w:szCs w:val="21"/>
                    </w:rPr>
                    <w:t>《大气污染物综合排放标准》（DB32/4041—2021）</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29" w:type="pct"/>
                  <w:vMerge w:val="restart"/>
                  <w:vAlign w:val="center"/>
                </w:tcPr>
                <w:p>
                  <w:pPr>
                    <w:tabs>
                      <w:tab w:val="left" w:pos="0"/>
                      <w:tab w:val="left" w:pos="5940"/>
                    </w:tabs>
                    <w:jc w:val="center"/>
                    <w:rPr>
                      <w:color w:val="000000"/>
                      <w:szCs w:val="21"/>
                    </w:rPr>
                  </w:pPr>
                  <w:r>
                    <w:rPr>
                      <w:rFonts w:hint="eastAsia"/>
                      <w:color w:val="000000"/>
                      <w:szCs w:val="21"/>
                    </w:rPr>
                    <w:t>无组织废气</w:t>
                  </w:r>
                </w:p>
              </w:tc>
              <w:tc>
                <w:tcPr>
                  <w:tcW w:w="1114" w:type="pct"/>
                  <w:vAlign w:val="center"/>
                </w:tcPr>
                <w:p>
                  <w:pPr>
                    <w:tabs>
                      <w:tab w:val="left" w:pos="0"/>
                      <w:tab w:val="left" w:pos="5940"/>
                    </w:tabs>
                    <w:jc w:val="center"/>
                    <w:rPr>
                      <w:color w:val="000000"/>
                      <w:szCs w:val="21"/>
                    </w:rPr>
                  </w:pPr>
                  <w:r>
                    <w:rPr>
                      <w:color w:val="000000"/>
                      <w:szCs w:val="21"/>
                    </w:rPr>
                    <w:t>非甲烷总烃</w:t>
                  </w:r>
                </w:p>
              </w:tc>
              <w:tc>
                <w:tcPr>
                  <w:tcW w:w="719" w:type="pct"/>
                  <w:vAlign w:val="center"/>
                </w:tcPr>
                <w:p>
                  <w:pPr>
                    <w:tabs>
                      <w:tab w:val="left" w:pos="0"/>
                      <w:tab w:val="left" w:pos="5940"/>
                    </w:tabs>
                    <w:jc w:val="center"/>
                    <w:rPr>
                      <w:color w:val="000000"/>
                      <w:szCs w:val="21"/>
                    </w:rPr>
                  </w:pPr>
                  <w:r>
                    <w:rPr>
                      <w:rFonts w:hint="eastAsia"/>
                      <w:color w:val="000000"/>
                      <w:szCs w:val="21"/>
                    </w:rPr>
                    <w:t>厂区内</w:t>
                  </w:r>
                </w:p>
              </w:tc>
              <w:tc>
                <w:tcPr>
                  <w:tcW w:w="694" w:type="pct"/>
                  <w:vAlign w:val="center"/>
                </w:tcPr>
                <w:p>
                  <w:pPr>
                    <w:tabs>
                      <w:tab w:val="left" w:pos="0"/>
                      <w:tab w:val="left" w:pos="5940"/>
                    </w:tabs>
                    <w:jc w:val="center"/>
                    <w:rPr>
                      <w:color w:val="000000"/>
                      <w:szCs w:val="21"/>
                    </w:rPr>
                  </w:pPr>
                  <w:r>
                    <w:rPr>
                      <w:color w:val="000000"/>
                      <w:szCs w:val="21"/>
                    </w:rPr>
                    <w:t>1次/年</w:t>
                  </w:r>
                </w:p>
              </w:tc>
              <w:tc>
                <w:tcPr>
                  <w:tcW w:w="1842" w:type="pct"/>
                  <w:vAlign w:val="center"/>
                </w:tcPr>
                <w:p>
                  <w:pPr>
                    <w:tabs>
                      <w:tab w:val="left" w:pos="0"/>
                      <w:tab w:val="left" w:pos="5940"/>
                    </w:tabs>
                    <w:jc w:val="center"/>
                    <w:rPr>
                      <w:color w:val="000000"/>
                      <w:szCs w:val="21"/>
                    </w:rPr>
                  </w:pPr>
                  <w:r>
                    <w:rPr>
                      <w:color w:val="000000"/>
                      <w:szCs w:val="21"/>
                    </w:rPr>
                    <w:t>《大气污染物综合排放标准》（DB32/4041—2021）</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29" w:type="pct"/>
                  <w:vMerge w:val="continue"/>
                  <w:vAlign w:val="center"/>
                </w:tcPr>
                <w:p>
                  <w:pPr>
                    <w:tabs>
                      <w:tab w:val="left" w:pos="0"/>
                      <w:tab w:val="left" w:pos="5940"/>
                    </w:tabs>
                    <w:jc w:val="center"/>
                    <w:rPr>
                      <w:color w:val="000000"/>
                      <w:szCs w:val="21"/>
                    </w:rPr>
                  </w:pPr>
                </w:p>
              </w:tc>
              <w:tc>
                <w:tcPr>
                  <w:tcW w:w="1114" w:type="pct"/>
                  <w:vAlign w:val="center"/>
                </w:tcPr>
                <w:p>
                  <w:pPr>
                    <w:tabs>
                      <w:tab w:val="left" w:pos="0"/>
                      <w:tab w:val="left" w:pos="5940"/>
                    </w:tabs>
                    <w:jc w:val="center"/>
                    <w:rPr>
                      <w:color w:val="000000"/>
                      <w:szCs w:val="21"/>
                    </w:rPr>
                  </w:pPr>
                  <w:r>
                    <w:rPr>
                      <w:color w:val="000000"/>
                      <w:szCs w:val="21"/>
                    </w:rPr>
                    <w:t>非甲烷总烃</w:t>
                  </w:r>
                </w:p>
              </w:tc>
              <w:tc>
                <w:tcPr>
                  <w:tcW w:w="719" w:type="pct"/>
                  <w:vAlign w:val="center"/>
                </w:tcPr>
                <w:p>
                  <w:pPr>
                    <w:tabs>
                      <w:tab w:val="left" w:pos="0"/>
                      <w:tab w:val="left" w:pos="5940"/>
                    </w:tabs>
                    <w:jc w:val="center"/>
                    <w:rPr>
                      <w:color w:val="000000"/>
                      <w:szCs w:val="21"/>
                    </w:rPr>
                  </w:pPr>
                  <w:r>
                    <w:rPr>
                      <w:rFonts w:hint="eastAsia"/>
                      <w:color w:val="000000"/>
                      <w:szCs w:val="21"/>
                    </w:rPr>
                    <w:t>厂界</w:t>
                  </w:r>
                </w:p>
              </w:tc>
              <w:tc>
                <w:tcPr>
                  <w:tcW w:w="694" w:type="pct"/>
                  <w:vAlign w:val="center"/>
                </w:tcPr>
                <w:p>
                  <w:pPr>
                    <w:tabs>
                      <w:tab w:val="left" w:pos="0"/>
                      <w:tab w:val="left" w:pos="5940"/>
                    </w:tabs>
                    <w:jc w:val="center"/>
                    <w:rPr>
                      <w:color w:val="000000"/>
                      <w:szCs w:val="21"/>
                    </w:rPr>
                  </w:pPr>
                  <w:r>
                    <w:rPr>
                      <w:color w:val="000000"/>
                      <w:szCs w:val="21"/>
                    </w:rPr>
                    <w:t>1次/年</w:t>
                  </w:r>
                </w:p>
              </w:tc>
              <w:tc>
                <w:tcPr>
                  <w:tcW w:w="1842" w:type="pct"/>
                  <w:vAlign w:val="center"/>
                </w:tcPr>
                <w:p>
                  <w:pPr>
                    <w:tabs>
                      <w:tab w:val="left" w:pos="0"/>
                      <w:tab w:val="left" w:pos="5940"/>
                    </w:tabs>
                    <w:jc w:val="center"/>
                    <w:rPr>
                      <w:color w:val="000000"/>
                      <w:szCs w:val="21"/>
                    </w:rPr>
                  </w:pPr>
                  <w:r>
                    <w:rPr>
                      <w:color w:val="000000"/>
                      <w:szCs w:val="21"/>
                    </w:rPr>
                    <w:t>《大气污染物综合排放标准》（DB32/4041—2021）</w:t>
                  </w:r>
                </w:p>
              </w:tc>
            </w:tr>
          </w:tbl>
          <w:p>
            <w:pPr>
              <w:tabs>
                <w:tab w:val="left" w:pos="0"/>
              </w:tabs>
              <w:spacing w:line="360" w:lineRule="auto"/>
              <w:jc w:val="left"/>
              <w:rPr>
                <w:b/>
                <w:color w:val="000000"/>
                <w:sz w:val="24"/>
              </w:rPr>
            </w:pPr>
          </w:p>
          <w:p>
            <w:pPr>
              <w:tabs>
                <w:tab w:val="left" w:pos="0"/>
              </w:tabs>
              <w:spacing w:line="360" w:lineRule="auto"/>
              <w:jc w:val="left"/>
              <w:rPr>
                <w:b/>
                <w:color w:val="000000"/>
                <w:sz w:val="24"/>
              </w:rPr>
            </w:pPr>
            <w:r>
              <w:rPr>
                <w:b/>
                <w:color w:val="000000"/>
                <w:sz w:val="24"/>
              </w:rPr>
              <w:t>4.1.6大气环境影响评价结论</w:t>
            </w:r>
          </w:p>
          <w:p>
            <w:pPr>
              <w:tabs>
                <w:tab w:val="left" w:pos="0"/>
              </w:tabs>
              <w:spacing w:line="360" w:lineRule="auto"/>
              <w:ind w:firstLine="480" w:firstLineChars="200"/>
              <w:jc w:val="left"/>
              <w:rPr>
                <w:bCs/>
                <w:color w:val="000000"/>
                <w:sz w:val="24"/>
              </w:rPr>
            </w:pPr>
            <w:r>
              <w:rPr>
                <w:bCs/>
                <w:color w:val="000000"/>
                <w:sz w:val="24"/>
              </w:rPr>
              <w:t>本项目位于苏州高新区</w:t>
            </w:r>
            <w:r>
              <w:rPr>
                <w:rFonts w:hint="eastAsia"/>
                <w:bCs/>
                <w:color w:val="000000"/>
                <w:sz w:val="24"/>
              </w:rPr>
              <w:t>东渚街道金沙江路158号12幢</w:t>
            </w:r>
            <w:r>
              <w:rPr>
                <w:bCs/>
                <w:color w:val="000000"/>
                <w:sz w:val="24"/>
              </w:rPr>
              <w:t>，所在区域环境空气功能区为二类区。</w:t>
            </w:r>
          </w:p>
          <w:p>
            <w:pPr>
              <w:tabs>
                <w:tab w:val="left" w:pos="0"/>
              </w:tabs>
              <w:spacing w:line="360" w:lineRule="auto"/>
              <w:ind w:firstLine="480" w:firstLineChars="200"/>
              <w:jc w:val="left"/>
              <w:rPr>
                <w:bCs/>
                <w:color w:val="000000"/>
                <w:sz w:val="24"/>
              </w:rPr>
            </w:pPr>
            <w:r>
              <w:rPr>
                <w:bCs/>
                <w:color w:val="000000"/>
                <w:sz w:val="24"/>
              </w:rPr>
              <w:t>本项目所在区域环境质量现状O</w:t>
            </w:r>
            <w:r>
              <w:rPr>
                <w:bCs/>
                <w:color w:val="000000"/>
                <w:sz w:val="24"/>
                <w:vertAlign w:val="subscript"/>
              </w:rPr>
              <w:t>3</w:t>
            </w:r>
            <w:r>
              <w:rPr>
                <w:bCs/>
                <w:color w:val="000000"/>
                <w:sz w:val="24"/>
              </w:rPr>
              <w:t>超标，其他污染物达标；本项目500米内无环境保护目标；项目采取的污染治理措施为可行技术，有组织可达标排放，对周围大气环境的影响较小，不会改变项目所在地的环境功能级别。</w:t>
            </w:r>
          </w:p>
          <w:p>
            <w:pPr>
              <w:tabs>
                <w:tab w:val="left" w:pos="0"/>
              </w:tabs>
              <w:spacing w:line="360" w:lineRule="auto"/>
              <w:jc w:val="left"/>
              <w:rPr>
                <w:b/>
                <w:color w:val="000000"/>
                <w:sz w:val="24"/>
              </w:rPr>
            </w:pPr>
            <w:r>
              <w:rPr>
                <w:b/>
                <w:color w:val="000000"/>
                <w:sz w:val="24"/>
              </w:rPr>
              <w:t>4.2地表水环境影响及防治措施分析</w:t>
            </w:r>
          </w:p>
          <w:p>
            <w:pPr>
              <w:tabs>
                <w:tab w:val="left" w:pos="0"/>
              </w:tabs>
              <w:spacing w:line="360" w:lineRule="auto"/>
              <w:jc w:val="left"/>
              <w:rPr>
                <w:b/>
                <w:color w:val="000000"/>
                <w:sz w:val="24"/>
              </w:rPr>
            </w:pPr>
            <w:r>
              <w:rPr>
                <w:b/>
                <w:color w:val="000000"/>
                <w:sz w:val="24"/>
              </w:rPr>
              <w:t>4.2.1废水源强及污染防治措施</w:t>
            </w:r>
          </w:p>
          <w:p>
            <w:pPr>
              <w:tabs>
                <w:tab w:val="left" w:pos="0"/>
              </w:tabs>
              <w:spacing w:line="360" w:lineRule="auto"/>
              <w:ind w:firstLine="480" w:firstLineChars="200"/>
              <w:rPr>
                <w:color w:val="000000"/>
                <w:sz w:val="24"/>
              </w:rPr>
            </w:pPr>
            <w:r>
              <w:rPr>
                <w:color w:val="000000"/>
                <w:sz w:val="24"/>
              </w:rPr>
              <w:t>（1）废水产污环节及源强分析</w:t>
            </w:r>
          </w:p>
          <w:p>
            <w:pPr>
              <w:tabs>
                <w:tab w:val="left" w:pos="0"/>
              </w:tabs>
              <w:spacing w:line="360" w:lineRule="auto"/>
              <w:ind w:firstLine="482" w:firstLineChars="200"/>
              <w:jc w:val="left"/>
              <w:rPr>
                <w:color w:val="000000"/>
                <w:sz w:val="24"/>
              </w:rPr>
            </w:pPr>
            <w:r>
              <w:rPr>
                <w:b/>
                <w:bCs/>
                <w:color w:val="000000"/>
                <w:sz w:val="24"/>
              </w:rPr>
              <w:t>生活用水：</w:t>
            </w:r>
            <w:r>
              <w:rPr>
                <w:color w:val="000000"/>
                <w:sz w:val="24"/>
              </w:rPr>
              <w:t>本项目</w:t>
            </w:r>
            <w:r>
              <w:rPr>
                <w:rFonts w:hint="eastAsia"/>
                <w:color w:val="000000"/>
                <w:sz w:val="24"/>
              </w:rPr>
              <w:t>新增</w:t>
            </w:r>
            <w:r>
              <w:rPr>
                <w:color w:val="000000"/>
                <w:sz w:val="24"/>
              </w:rPr>
              <w:t>员工</w:t>
            </w:r>
            <w:r>
              <w:rPr>
                <w:rFonts w:hint="eastAsia"/>
                <w:color w:val="000000"/>
                <w:sz w:val="24"/>
              </w:rPr>
              <w:t>200</w:t>
            </w:r>
            <w:r>
              <w:rPr>
                <w:color w:val="000000"/>
                <w:sz w:val="24"/>
              </w:rPr>
              <w:t>人，人均用水量按100L/d计算，年工作时间约为300天，预计生活用水量为</w:t>
            </w:r>
            <w:r>
              <w:rPr>
                <w:rFonts w:hint="eastAsia"/>
                <w:color w:val="000000"/>
                <w:sz w:val="24"/>
              </w:rPr>
              <w:t>20</w:t>
            </w:r>
            <w:r>
              <w:rPr>
                <w:color w:val="000000"/>
                <w:sz w:val="24"/>
              </w:rPr>
              <w:t>t/d（</w:t>
            </w:r>
            <w:r>
              <w:rPr>
                <w:rFonts w:hint="eastAsia"/>
                <w:color w:val="000000"/>
                <w:sz w:val="24"/>
              </w:rPr>
              <w:t>60</w:t>
            </w:r>
            <w:r>
              <w:rPr>
                <w:color w:val="000000"/>
                <w:sz w:val="24"/>
              </w:rPr>
              <w:t>00t/a），废水排污系数按0.8</w:t>
            </w:r>
            <w:r>
              <w:rPr>
                <w:rFonts w:hint="eastAsia"/>
                <w:color w:val="000000"/>
                <w:sz w:val="24"/>
              </w:rPr>
              <w:t>5</w:t>
            </w:r>
            <w:r>
              <w:rPr>
                <w:color w:val="000000"/>
                <w:sz w:val="24"/>
              </w:rPr>
              <w:t>计算，则项目生活污水量为</w:t>
            </w:r>
            <w:r>
              <w:rPr>
                <w:rFonts w:hint="eastAsia"/>
                <w:color w:val="000000"/>
                <w:sz w:val="24"/>
              </w:rPr>
              <w:t>17</w:t>
            </w:r>
            <w:r>
              <w:rPr>
                <w:color w:val="000000"/>
                <w:sz w:val="24"/>
              </w:rPr>
              <w:t>t/d（</w:t>
            </w:r>
            <w:r>
              <w:rPr>
                <w:rFonts w:hint="eastAsia"/>
                <w:color w:val="000000"/>
                <w:sz w:val="24"/>
              </w:rPr>
              <w:t>5100</w:t>
            </w:r>
            <w:r>
              <w:rPr>
                <w:color w:val="000000"/>
                <w:sz w:val="24"/>
              </w:rPr>
              <w:t>t/a）。生活污水接管至市政污水管网，进入</w:t>
            </w:r>
            <w:r>
              <w:rPr>
                <w:rFonts w:hint="eastAsia"/>
                <w:color w:val="000000"/>
                <w:sz w:val="24"/>
              </w:rPr>
              <w:t>科技城水质净化厂</w:t>
            </w:r>
            <w:r>
              <w:rPr>
                <w:color w:val="000000"/>
                <w:sz w:val="24"/>
              </w:rPr>
              <w:t>处理达标后排放。</w:t>
            </w:r>
          </w:p>
          <w:p>
            <w:pPr>
              <w:tabs>
                <w:tab w:val="left" w:pos="0"/>
              </w:tabs>
              <w:spacing w:line="360" w:lineRule="auto"/>
              <w:ind w:firstLine="480" w:firstLineChars="200"/>
              <w:rPr>
                <w:b/>
                <w:color w:val="000000"/>
                <w:sz w:val="24"/>
              </w:rPr>
            </w:pPr>
            <w:r>
              <w:rPr>
                <w:color w:val="000000"/>
                <w:sz w:val="24"/>
              </w:rPr>
              <w:t>项目废水产生排放情况见下表。</w:t>
            </w:r>
          </w:p>
          <w:p>
            <w:pPr>
              <w:tabs>
                <w:tab w:val="left" w:pos="0"/>
              </w:tabs>
              <w:spacing w:before="60"/>
              <w:jc w:val="center"/>
              <w:rPr>
                <w:b/>
                <w:color w:val="000000"/>
                <w:sz w:val="24"/>
              </w:rPr>
            </w:pPr>
            <w:r>
              <w:rPr>
                <w:rFonts w:hint="eastAsia"/>
                <w:b/>
                <w:color w:val="000000"/>
                <w:sz w:val="24"/>
                <w:lang w:val="en-US" w:eastAsia="zh-CN"/>
              </w:rPr>
              <w:t xml:space="preserve"> </w:t>
            </w:r>
            <w:r>
              <w:rPr>
                <w:b/>
                <w:color w:val="000000"/>
                <w:sz w:val="24"/>
              </w:rPr>
              <w:t>表4-1</w:t>
            </w:r>
            <w:r>
              <w:rPr>
                <w:rFonts w:hint="eastAsia"/>
                <w:b/>
                <w:color w:val="000000"/>
                <w:sz w:val="24"/>
              </w:rPr>
              <w:t>3</w:t>
            </w:r>
            <w:r>
              <w:rPr>
                <w:b/>
                <w:color w:val="000000"/>
                <w:sz w:val="24"/>
              </w:rPr>
              <w:t xml:space="preserve">  项目废水排放情况表</w:t>
            </w:r>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828"/>
              <w:gridCol w:w="837"/>
              <w:gridCol w:w="875"/>
              <w:gridCol w:w="1025"/>
              <w:gridCol w:w="1002"/>
              <w:gridCol w:w="681"/>
              <w:gridCol w:w="1025"/>
              <w:gridCol w:w="985"/>
              <w:gridCol w:w="1025"/>
              <w:gridCol w:w="7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58" w:hRule="atLeast"/>
                <w:tblHeader/>
                <w:jc w:val="center"/>
              </w:trPr>
              <w:tc>
                <w:tcPr>
                  <w:tcW w:w="456" w:type="pct"/>
                  <w:vMerge w:val="restart"/>
                  <w:vAlign w:val="center"/>
                </w:tcPr>
                <w:p>
                  <w:pPr>
                    <w:tabs>
                      <w:tab w:val="left" w:pos="0"/>
                    </w:tabs>
                    <w:adjustRightInd w:val="0"/>
                    <w:snapToGrid w:val="0"/>
                    <w:jc w:val="center"/>
                    <w:textAlignment w:val="baseline"/>
                    <w:rPr>
                      <w:b/>
                      <w:color w:val="000000"/>
                      <w:spacing w:val="4"/>
                    </w:rPr>
                  </w:pPr>
                  <w:r>
                    <w:rPr>
                      <w:b/>
                      <w:color w:val="000000"/>
                      <w:spacing w:val="4"/>
                    </w:rPr>
                    <w:t>种类</w:t>
                  </w:r>
                </w:p>
              </w:tc>
              <w:tc>
                <w:tcPr>
                  <w:tcW w:w="461" w:type="pct"/>
                  <w:vMerge w:val="restart"/>
                  <w:vAlign w:val="center"/>
                </w:tcPr>
                <w:p>
                  <w:pPr>
                    <w:tabs>
                      <w:tab w:val="left" w:pos="0"/>
                    </w:tabs>
                    <w:adjustRightInd w:val="0"/>
                    <w:snapToGrid w:val="0"/>
                    <w:jc w:val="center"/>
                    <w:textAlignment w:val="baseline"/>
                    <w:rPr>
                      <w:b/>
                      <w:color w:val="000000"/>
                      <w:spacing w:val="4"/>
                    </w:rPr>
                  </w:pPr>
                  <w:r>
                    <w:rPr>
                      <w:b/>
                      <w:color w:val="000000"/>
                      <w:spacing w:val="4"/>
                    </w:rPr>
                    <w:t>废水量（t/a）</w:t>
                  </w:r>
                </w:p>
              </w:tc>
              <w:tc>
                <w:tcPr>
                  <w:tcW w:w="482" w:type="pct"/>
                  <w:vMerge w:val="restart"/>
                  <w:vAlign w:val="center"/>
                </w:tcPr>
                <w:p>
                  <w:pPr>
                    <w:tabs>
                      <w:tab w:val="left" w:pos="0"/>
                    </w:tabs>
                    <w:adjustRightInd w:val="0"/>
                    <w:snapToGrid w:val="0"/>
                    <w:jc w:val="center"/>
                    <w:textAlignment w:val="baseline"/>
                    <w:rPr>
                      <w:b/>
                      <w:color w:val="000000"/>
                      <w:spacing w:val="4"/>
                    </w:rPr>
                  </w:pPr>
                  <w:r>
                    <w:rPr>
                      <w:b/>
                      <w:color w:val="000000"/>
                      <w:spacing w:val="4"/>
                    </w:rPr>
                    <w:t>污染物名称</w:t>
                  </w:r>
                </w:p>
              </w:tc>
              <w:tc>
                <w:tcPr>
                  <w:tcW w:w="1117" w:type="pct"/>
                  <w:gridSpan w:val="2"/>
                  <w:vAlign w:val="center"/>
                </w:tcPr>
                <w:p>
                  <w:pPr>
                    <w:tabs>
                      <w:tab w:val="left" w:pos="0"/>
                    </w:tabs>
                    <w:adjustRightInd w:val="0"/>
                    <w:snapToGrid w:val="0"/>
                    <w:jc w:val="center"/>
                    <w:textAlignment w:val="baseline"/>
                    <w:rPr>
                      <w:b/>
                      <w:color w:val="000000"/>
                      <w:spacing w:val="4"/>
                    </w:rPr>
                  </w:pPr>
                  <w:r>
                    <w:rPr>
                      <w:b/>
                      <w:color w:val="000000"/>
                      <w:spacing w:val="4"/>
                    </w:rPr>
                    <w:t>污染物产生量</w:t>
                  </w:r>
                </w:p>
              </w:tc>
              <w:tc>
                <w:tcPr>
                  <w:tcW w:w="375" w:type="pct"/>
                  <w:vMerge w:val="restart"/>
                  <w:vAlign w:val="center"/>
                </w:tcPr>
                <w:p>
                  <w:pPr>
                    <w:tabs>
                      <w:tab w:val="left" w:pos="0"/>
                    </w:tabs>
                    <w:adjustRightInd w:val="0"/>
                    <w:snapToGrid w:val="0"/>
                    <w:jc w:val="center"/>
                    <w:textAlignment w:val="baseline"/>
                    <w:rPr>
                      <w:b/>
                      <w:color w:val="000000"/>
                      <w:spacing w:val="4"/>
                    </w:rPr>
                  </w:pPr>
                  <w:r>
                    <w:rPr>
                      <w:b/>
                      <w:color w:val="000000"/>
                      <w:spacing w:val="4"/>
                    </w:rPr>
                    <w:t>治理</w:t>
                  </w:r>
                </w:p>
                <w:p>
                  <w:pPr>
                    <w:tabs>
                      <w:tab w:val="left" w:pos="0"/>
                    </w:tabs>
                    <w:adjustRightInd w:val="0"/>
                    <w:snapToGrid w:val="0"/>
                    <w:jc w:val="center"/>
                    <w:textAlignment w:val="baseline"/>
                    <w:rPr>
                      <w:b/>
                      <w:color w:val="000000"/>
                      <w:spacing w:val="4"/>
                    </w:rPr>
                  </w:pPr>
                  <w:r>
                    <w:rPr>
                      <w:b/>
                      <w:color w:val="000000"/>
                      <w:spacing w:val="4"/>
                    </w:rPr>
                    <w:t>措施</w:t>
                  </w:r>
                </w:p>
              </w:tc>
              <w:tc>
                <w:tcPr>
                  <w:tcW w:w="1108" w:type="pct"/>
                  <w:gridSpan w:val="2"/>
                  <w:vAlign w:val="center"/>
                </w:tcPr>
                <w:p>
                  <w:pPr>
                    <w:tabs>
                      <w:tab w:val="left" w:pos="0"/>
                    </w:tabs>
                    <w:adjustRightInd w:val="0"/>
                    <w:snapToGrid w:val="0"/>
                    <w:jc w:val="center"/>
                    <w:textAlignment w:val="baseline"/>
                    <w:rPr>
                      <w:b/>
                      <w:color w:val="000000"/>
                      <w:spacing w:val="4"/>
                    </w:rPr>
                  </w:pPr>
                  <w:r>
                    <w:rPr>
                      <w:b/>
                      <w:color w:val="000000"/>
                      <w:spacing w:val="4"/>
                    </w:rPr>
                    <w:t>污染物排放量</w:t>
                  </w:r>
                </w:p>
              </w:tc>
              <w:tc>
                <w:tcPr>
                  <w:tcW w:w="565" w:type="pct"/>
                  <w:vMerge w:val="restart"/>
                  <w:vAlign w:val="center"/>
                </w:tcPr>
                <w:p>
                  <w:pPr>
                    <w:tabs>
                      <w:tab w:val="left" w:pos="0"/>
                    </w:tabs>
                    <w:adjustRightInd w:val="0"/>
                    <w:snapToGrid w:val="0"/>
                    <w:jc w:val="center"/>
                    <w:textAlignment w:val="baseline"/>
                    <w:rPr>
                      <w:b/>
                      <w:color w:val="000000"/>
                      <w:spacing w:val="4"/>
                    </w:rPr>
                  </w:pPr>
                  <w:r>
                    <w:rPr>
                      <w:b/>
                      <w:color w:val="000000"/>
                      <w:spacing w:val="4"/>
                    </w:rPr>
                    <w:t>标准浓度限值（mg/l）</w:t>
                  </w:r>
                </w:p>
              </w:tc>
              <w:tc>
                <w:tcPr>
                  <w:tcW w:w="431" w:type="pct"/>
                  <w:vMerge w:val="restart"/>
                  <w:vAlign w:val="center"/>
                </w:tcPr>
                <w:p>
                  <w:pPr>
                    <w:tabs>
                      <w:tab w:val="left" w:pos="0"/>
                    </w:tabs>
                    <w:adjustRightInd w:val="0"/>
                    <w:snapToGrid w:val="0"/>
                    <w:jc w:val="center"/>
                    <w:textAlignment w:val="baseline"/>
                    <w:rPr>
                      <w:b/>
                      <w:color w:val="000000"/>
                      <w:spacing w:val="4"/>
                    </w:rPr>
                  </w:pPr>
                  <w:r>
                    <w:rPr>
                      <w:b/>
                      <w:color w:val="000000"/>
                      <w:spacing w:val="4"/>
                    </w:rPr>
                    <w:t>排放方式与去向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13" w:hRule="atLeast"/>
                <w:tblHeader/>
                <w:jc w:val="center"/>
              </w:trPr>
              <w:tc>
                <w:tcPr>
                  <w:tcW w:w="456" w:type="pct"/>
                  <w:vMerge w:val="continue"/>
                  <w:vAlign w:val="center"/>
                </w:tcPr>
                <w:p>
                  <w:pPr>
                    <w:tabs>
                      <w:tab w:val="left" w:pos="0"/>
                    </w:tabs>
                    <w:adjustRightInd w:val="0"/>
                    <w:snapToGrid w:val="0"/>
                    <w:jc w:val="center"/>
                    <w:textAlignment w:val="baseline"/>
                    <w:rPr>
                      <w:b/>
                      <w:color w:val="000000"/>
                      <w:spacing w:val="4"/>
                    </w:rPr>
                  </w:pPr>
                </w:p>
              </w:tc>
              <w:tc>
                <w:tcPr>
                  <w:tcW w:w="461" w:type="pct"/>
                  <w:vMerge w:val="continue"/>
                  <w:vAlign w:val="center"/>
                </w:tcPr>
                <w:p>
                  <w:pPr>
                    <w:tabs>
                      <w:tab w:val="left" w:pos="0"/>
                    </w:tabs>
                    <w:adjustRightInd w:val="0"/>
                    <w:snapToGrid w:val="0"/>
                    <w:jc w:val="center"/>
                    <w:textAlignment w:val="baseline"/>
                    <w:rPr>
                      <w:b/>
                      <w:color w:val="000000"/>
                      <w:spacing w:val="4"/>
                    </w:rPr>
                  </w:pPr>
                </w:p>
              </w:tc>
              <w:tc>
                <w:tcPr>
                  <w:tcW w:w="482" w:type="pct"/>
                  <w:vMerge w:val="continue"/>
                  <w:vAlign w:val="center"/>
                </w:tcPr>
                <w:p>
                  <w:pPr>
                    <w:tabs>
                      <w:tab w:val="left" w:pos="0"/>
                    </w:tabs>
                    <w:adjustRightInd w:val="0"/>
                    <w:snapToGrid w:val="0"/>
                    <w:jc w:val="center"/>
                    <w:textAlignment w:val="baseline"/>
                    <w:rPr>
                      <w:b/>
                      <w:color w:val="000000"/>
                      <w:spacing w:val="4"/>
                    </w:rPr>
                  </w:pPr>
                </w:p>
              </w:tc>
              <w:tc>
                <w:tcPr>
                  <w:tcW w:w="565" w:type="pct"/>
                  <w:vAlign w:val="center"/>
                </w:tcPr>
                <w:p>
                  <w:pPr>
                    <w:tabs>
                      <w:tab w:val="left" w:pos="0"/>
                    </w:tabs>
                    <w:adjustRightInd w:val="0"/>
                    <w:snapToGrid w:val="0"/>
                    <w:jc w:val="center"/>
                    <w:textAlignment w:val="baseline"/>
                    <w:rPr>
                      <w:b/>
                      <w:color w:val="000000"/>
                      <w:spacing w:val="4"/>
                    </w:rPr>
                  </w:pPr>
                  <w:r>
                    <w:rPr>
                      <w:b/>
                      <w:color w:val="000000"/>
                      <w:spacing w:val="4"/>
                    </w:rPr>
                    <w:t>浓度（mg/l）</w:t>
                  </w:r>
                </w:p>
              </w:tc>
              <w:tc>
                <w:tcPr>
                  <w:tcW w:w="552" w:type="pct"/>
                  <w:vAlign w:val="center"/>
                </w:tcPr>
                <w:p>
                  <w:pPr>
                    <w:tabs>
                      <w:tab w:val="left" w:pos="0"/>
                    </w:tabs>
                    <w:adjustRightInd w:val="0"/>
                    <w:snapToGrid w:val="0"/>
                    <w:jc w:val="center"/>
                    <w:textAlignment w:val="baseline"/>
                    <w:rPr>
                      <w:b/>
                      <w:color w:val="000000"/>
                      <w:spacing w:val="4"/>
                    </w:rPr>
                  </w:pPr>
                  <w:r>
                    <w:rPr>
                      <w:b/>
                      <w:color w:val="000000"/>
                      <w:spacing w:val="4"/>
                    </w:rPr>
                    <w:t>产生量</w:t>
                  </w:r>
                </w:p>
                <w:p>
                  <w:pPr>
                    <w:tabs>
                      <w:tab w:val="left" w:pos="0"/>
                    </w:tabs>
                    <w:adjustRightInd w:val="0"/>
                    <w:snapToGrid w:val="0"/>
                    <w:jc w:val="center"/>
                    <w:textAlignment w:val="baseline"/>
                    <w:rPr>
                      <w:b/>
                      <w:color w:val="000000"/>
                      <w:spacing w:val="4"/>
                    </w:rPr>
                  </w:pPr>
                  <w:r>
                    <w:rPr>
                      <w:b/>
                      <w:color w:val="000000"/>
                      <w:spacing w:val="4"/>
                    </w:rPr>
                    <w:t>（t/a）</w:t>
                  </w:r>
                </w:p>
              </w:tc>
              <w:tc>
                <w:tcPr>
                  <w:tcW w:w="375" w:type="pct"/>
                  <w:vMerge w:val="continue"/>
                  <w:vAlign w:val="center"/>
                </w:tcPr>
                <w:p>
                  <w:pPr>
                    <w:tabs>
                      <w:tab w:val="left" w:pos="0"/>
                    </w:tabs>
                    <w:adjustRightInd w:val="0"/>
                    <w:snapToGrid w:val="0"/>
                    <w:jc w:val="center"/>
                    <w:textAlignment w:val="baseline"/>
                    <w:rPr>
                      <w:b/>
                      <w:color w:val="000000"/>
                      <w:spacing w:val="4"/>
                    </w:rPr>
                  </w:pPr>
                </w:p>
              </w:tc>
              <w:tc>
                <w:tcPr>
                  <w:tcW w:w="565" w:type="pct"/>
                  <w:vAlign w:val="center"/>
                </w:tcPr>
                <w:p>
                  <w:pPr>
                    <w:tabs>
                      <w:tab w:val="left" w:pos="0"/>
                    </w:tabs>
                    <w:adjustRightInd w:val="0"/>
                    <w:snapToGrid w:val="0"/>
                    <w:jc w:val="center"/>
                    <w:textAlignment w:val="baseline"/>
                    <w:rPr>
                      <w:b/>
                      <w:color w:val="000000"/>
                      <w:spacing w:val="4"/>
                    </w:rPr>
                  </w:pPr>
                  <w:r>
                    <w:rPr>
                      <w:b/>
                      <w:color w:val="000000"/>
                      <w:spacing w:val="4"/>
                    </w:rPr>
                    <w:t>浓度（mg/l）</w:t>
                  </w:r>
                </w:p>
              </w:tc>
              <w:tc>
                <w:tcPr>
                  <w:tcW w:w="542" w:type="pct"/>
                  <w:vAlign w:val="center"/>
                </w:tcPr>
                <w:p>
                  <w:pPr>
                    <w:tabs>
                      <w:tab w:val="left" w:pos="0"/>
                    </w:tabs>
                    <w:adjustRightInd w:val="0"/>
                    <w:snapToGrid w:val="0"/>
                    <w:jc w:val="center"/>
                    <w:textAlignment w:val="baseline"/>
                    <w:rPr>
                      <w:b/>
                      <w:color w:val="000000"/>
                      <w:spacing w:val="4"/>
                    </w:rPr>
                  </w:pPr>
                  <w:r>
                    <w:rPr>
                      <w:b/>
                      <w:color w:val="000000"/>
                      <w:spacing w:val="4"/>
                    </w:rPr>
                    <w:t>排放量</w:t>
                  </w:r>
                </w:p>
                <w:p>
                  <w:pPr>
                    <w:tabs>
                      <w:tab w:val="left" w:pos="0"/>
                    </w:tabs>
                    <w:adjustRightInd w:val="0"/>
                    <w:snapToGrid w:val="0"/>
                    <w:jc w:val="center"/>
                    <w:textAlignment w:val="baseline"/>
                    <w:rPr>
                      <w:b/>
                      <w:color w:val="000000"/>
                      <w:spacing w:val="4"/>
                    </w:rPr>
                  </w:pPr>
                  <w:r>
                    <w:rPr>
                      <w:b/>
                      <w:color w:val="000000"/>
                      <w:spacing w:val="4"/>
                    </w:rPr>
                    <w:t>（t/a）</w:t>
                  </w:r>
                </w:p>
              </w:tc>
              <w:tc>
                <w:tcPr>
                  <w:tcW w:w="565" w:type="pct"/>
                  <w:vMerge w:val="continue"/>
                  <w:vAlign w:val="center"/>
                </w:tcPr>
                <w:p>
                  <w:pPr>
                    <w:tabs>
                      <w:tab w:val="left" w:pos="0"/>
                    </w:tabs>
                    <w:adjustRightInd w:val="0"/>
                    <w:snapToGrid w:val="0"/>
                    <w:jc w:val="center"/>
                    <w:textAlignment w:val="baseline"/>
                    <w:rPr>
                      <w:b/>
                      <w:color w:val="000000"/>
                      <w:spacing w:val="4"/>
                    </w:rPr>
                  </w:pPr>
                </w:p>
              </w:tc>
              <w:tc>
                <w:tcPr>
                  <w:tcW w:w="431" w:type="pct"/>
                  <w:vMerge w:val="continue"/>
                  <w:vAlign w:val="center"/>
                </w:tcPr>
                <w:p>
                  <w:pPr>
                    <w:tabs>
                      <w:tab w:val="left" w:pos="0"/>
                    </w:tabs>
                    <w:adjustRightInd w:val="0"/>
                    <w:snapToGrid w:val="0"/>
                    <w:jc w:val="center"/>
                    <w:textAlignment w:val="baseline"/>
                    <w:rPr>
                      <w:b/>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3" w:hRule="atLeast"/>
                <w:tblHeader/>
                <w:jc w:val="center"/>
              </w:trPr>
              <w:tc>
                <w:tcPr>
                  <w:tcW w:w="456" w:type="pct"/>
                  <w:vMerge w:val="restart"/>
                  <w:vAlign w:val="center"/>
                </w:tcPr>
                <w:p>
                  <w:pPr>
                    <w:tabs>
                      <w:tab w:val="left" w:pos="0"/>
                    </w:tabs>
                    <w:adjustRightInd w:val="0"/>
                    <w:snapToGrid w:val="0"/>
                    <w:jc w:val="center"/>
                    <w:textAlignment w:val="baseline"/>
                    <w:rPr>
                      <w:color w:val="000000"/>
                      <w:spacing w:val="4"/>
                    </w:rPr>
                  </w:pPr>
                  <w:r>
                    <w:rPr>
                      <w:color w:val="000000"/>
                      <w:spacing w:val="4"/>
                    </w:rPr>
                    <w:t>生活</w:t>
                  </w:r>
                </w:p>
                <w:p>
                  <w:pPr>
                    <w:tabs>
                      <w:tab w:val="left" w:pos="0"/>
                    </w:tabs>
                    <w:adjustRightInd w:val="0"/>
                    <w:snapToGrid w:val="0"/>
                    <w:jc w:val="center"/>
                    <w:textAlignment w:val="baseline"/>
                    <w:rPr>
                      <w:color w:val="000000"/>
                      <w:spacing w:val="4"/>
                    </w:rPr>
                  </w:pPr>
                  <w:r>
                    <w:rPr>
                      <w:color w:val="000000"/>
                      <w:spacing w:val="4"/>
                    </w:rPr>
                    <w:t>污水</w:t>
                  </w:r>
                </w:p>
              </w:tc>
              <w:tc>
                <w:tcPr>
                  <w:tcW w:w="461" w:type="pct"/>
                  <w:vMerge w:val="restart"/>
                  <w:vAlign w:val="center"/>
                </w:tcPr>
                <w:p>
                  <w:pPr>
                    <w:tabs>
                      <w:tab w:val="left" w:pos="0"/>
                    </w:tabs>
                    <w:adjustRightInd w:val="0"/>
                    <w:snapToGrid w:val="0"/>
                    <w:jc w:val="center"/>
                    <w:textAlignment w:val="baseline"/>
                    <w:rPr>
                      <w:color w:val="000000"/>
                      <w:spacing w:val="4"/>
                    </w:rPr>
                  </w:pPr>
                  <w:r>
                    <w:rPr>
                      <w:rFonts w:hint="eastAsia"/>
                      <w:color w:val="000000"/>
                      <w:spacing w:val="4"/>
                    </w:rPr>
                    <w:t>5100</w:t>
                  </w:r>
                </w:p>
              </w:tc>
              <w:tc>
                <w:tcPr>
                  <w:tcW w:w="482" w:type="pct"/>
                  <w:vAlign w:val="center"/>
                </w:tcPr>
                <w:p>
                  <w:pPr>
                    <w:tabs>
                      <w:tab w:val="left" w:pos="0"/>
                    </w:tabs>
                    <w:adjustRightInd w:val="0"/>
                    <w:snapToGrid w:val="0"/>
                    <w:jc w:val="center"/>
                    <w:textAlignment w:val="baseline"/>
                    <w:rPr>
                      <w:color w:val="000000"/>
                      <w:spacing w:val="4"/>
                    </w:rPr>
                  </w:pPr>
                  <w:r>
                    <w:rPr>
                      <w:color w:val="000000"/>
                      <w:spacing w:val="4"/>
                    </w:rPr>
                    <w:t>pH</w:t>
                  </w:r>
                </w:p>
              </w:tc>
              <w:tc>
                <w:tcPr>
                  <w:tcW w:w="1117" w:type="pct"/>
                  <w:gridSpan w:val="2"/>
                  <w:vAlign w:val="center"/>
                </w:tcPr>
                <w:p>
                  <w:pPr>
                    <w:tabs>
                      <w:tab w:val="left" w:pos="0"/>
                    </w:tabs>
                    <w:adjustRightInd w:val="0"/>
                    <w:snapToGrid w:val="0"/>
                    <w:jc w:val="center"/>
                    <w:textAlignment w:val="baseline"/>
                    <w:rPr>
                      <w:color w:val="000000"/>
                      <w:spacing w:val="4"/>
                    </w:rPr>
                  </w:pPr>
                  <w:r>
                    <w:rPr>
                      <w:color w:val="000000"/>
                      <w:spacing w:val="4"/>
                    </w:rPr>
                    <w:t>6~9</w:t>
                  </w:r>
                </w:p>
              </w:tc>
              <w:tc>
                <w:tcPr>
                  <w:tcW w:w="375" w:type="pct"/>
                  <w:vMerge w:val="restart"/>
                  <w:vAlign w:val="center"/>
                </w:tcPr>
                <w:p>
                  <w:pPr>
                    <w:tabs>
                      <w:tab w:val="left" w:pos="0"/>
                    </w:tabs>
                    <w:adjustRightInd w:val="0"/>
                    <w:snapToGrid w:val="0"/>
                    <w:jc w:val="center"/>
                    <w:textAlignment w:val="baseline"/>
                    <w:rPr>
                      <w:color w:val="000000"/>
                      <w:spacing w:val="4"/>
                      <w:szCs w:val="21"/>
                    </w:rPr>
                  </w:pPr>
                  <w:r>
                    <w:rPr>
                      <w:color w:val="000000"/>
                      <w:spacing w:val="4"/>
                    </w:rPr>
                    <w:t>/</w:t>
                  </w:r>
                </w:p>
              </w:tc>
              <w:tc>
                <w:tcPr>
                  <w:tcW w:w="1108" w:type="pct"/>
                  <w:gridSpan w:val="2"/>
                  <w:vAlign w:val="center"/>
                </w:tcPr>
                <w:p>
                  <w:pPr>
                    <w:tabs>
                      <w:tab w:val="left" w:pos="0"/>
                    </w:tabs>
                    <w:adjustRightInd w:val="0"/>
                    <w:snapToGrid w:val="0"/>
                    <w:jc w:val="center"/>
                    <w:textAlignment w:val="baseline"/>
                    <w:rPr>
                      <w:color w:val="000000"/>
                      <w:spacing w:val="4"/>
                    </w:rPr>
                  </w:pPr>
                  <w:r>
                    <w:rPr>
                      <w:color w:val="000000"/>
                      <w:spacing w:val="4"/>
                    </w:rPr>
                    <w:t>6~9</w:t>
                  </w:r>
                </w:p>
              </w:tc>
              <w:tc>
                <w:tcPr>
                  <w:tcW w:w="565" w:type="pct"/>
                  <w:vAlign w:val="center"/>
                </w:tcPr>
                <w:p>
                  <w:pPr>
                    <w:tabs>
                      <w:tab w:val="left" w:pos="0"/>
                    </w:tabs>
                    <w:adjustRightInd w:val="0"/>
                    <w:snapToGrid w:val="0"/>
                    <w:jc w:val="center"/>
                    <w:textAlignment w:val="baseline"/>
                    <w:rPr>
                      <w:color w:val="000000"/>
                      <w:spacing w:val="4"/>
                    </w:rPr>
                  </w:pPr>
                  <w:r>
                    <w:rPr>
                      <w:color w:val="000000"/>
                      <w:spacing w:val="4"/>
                    </w:rPr>
                    <w:t>6~9</w:t>
                  </w:r>
                </w:p>
              </w:tc>
              <w:tc>
                <w:tcPr>
                  <w:tcW w:w="431" w:type="pct"/>
                  <w:vMerge w:val="restart"/>
                  <w:vAlign w:val="center"/>
                </w:tcPr>
                <w:p>
                  <w:pPr>
                    <w:tabs>
                      <w:tab w:val="left" w:pos="0"/>
                    </w:tabs>
                    <w:adjustRightInd w:val="0"/>
                    <w:snapToGrid w:val="0"/>
                    <w:jc w:val="center"/>
                    <w:textAlignment w:val="baseline"/>
                    <w:rPr>
                      <w:color w:val="000000"/>
                      <w:spacing w:val="4"/>
                    </w:rPr>
                  </w:pPr>
                  <w:r>
                    <w:rPr>
                      <w:rFonts w:hint="eastAsia"/>
                      <w:color w:val="000000"/>
                      <w:spacing w:val="4"/>
                    </w:rPr>
                    <w:t>科技城水质净化厂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90" w:hRule="atLeast"/>
                <w:tblHeader/>
                <w:jc w:val="center"/>
              </w:trPr>
              <w:tc>
                <w:tcPr>
                  <w:tcW w:w="456" w:type="pct"/>
                  <w:vMerge w:val="continue"/>
                  <w:vAlign w:val="center"/>
                </w:tcPr>
                <w:p>
                  <w:pPr>
                    <w:tabs>
                      <w:tab w:val="left" w:pos="0"/>
                    </w:tabs>
                    <w:adjustRightInd w:val="0"/>
                    <w:snapToGrid w:val="0"/>
                    <w:jc w:val="center"/>
                    <w:textAlignment w:val="baseline"/>
                    <w:rPr>
                      <w:color w:val="000000"/>
                      <w:spacing w:val="4"/>
                    </w:rPr>
                  </w:pPr>
                </w:p>
              </w:tc>
              <w:tc>
                <w:tcPr>
                  <w:tcW w:w="461" w:type="pct"/>
                  <w:vMerge w:val="continue"/>
                  <w:vAlign w:val="center"/>
                </w:tcPr>
                <w:p>
                  <w:pPr>
                    <w:tabs>
                      <w:tab w:val="left" w:pos="0"/>
                    </w:tabs>
                    <w:adjustRightInd w:val="0"/>
                    <w:snapToGrid w:val="0"/>
                    <w:jc w:val="center"/>
                    <w:textAlignment w:val="baseline"/>
                    <w:rPr>
                      <w:color w:val="000000"/>
                      <w:spacing w:val="4"/>
                    </w:rPr>
                  </w:pPr>
                </w:p>
              </w:tc>
              <w:tc>
                <w:tcPr>
                  <w:tcW w:w="482" w:type="pct"/>
                  <w:vAlign w:val="center"/>
                </w:tcPr>
                <w:p>
                  <w:pPr>
                    <w:tabs>
                      <w:tab w:val="left" w:pos="0"/>
                    </w:tabs>
                    <w:adjustRightInd w:val="0"/>
                    <w:snapToGrid w:val="0"/>
                    <w:jc w:val="center"/>
                    <w:textAlignment w:val="baseline"/>
                    <w:rPr>
                      <w:color w:val="000000"/>
                      <w:spacing w:val="4"/>
                    </w:rPr>
                  </w:pPr>
                  <w:r>
                    <w:rPr>
                      <w:color w:val="000000"/>
                      <w:spacing w:val="4"/>
                    </w:rPr>
                    <w:t>COD</w:t>
                  </w:r>
                </w:p>
              </w:tc>
              <w:tc>
                <w:tcPr>
                  <w:tcW w:w="565" w:type="pct"/>
                  <w:vAlign w:val="center"/>
                </w:tcPr>
                <w:p>
                  <w:pPr>
                    <w:jc w:val="center"/>
                    <w:rPr>
                      <w:color w:val="000000"/>
                      <w:spacing w:val="4"/>
                    </w:rPr>
                  </w:pPr>
                  <w:r>
                    <w:rPr>
                      <w:rFonts w:hint="eastAsia"/>
                      <w:color w:val="000000"/>
                      <w:szCs w:val="21"/>
                    </w:rPr>
                    <w:t>5</w:t>
                  </w:r>
                  <w:r>
                    <w:rPr>
                      <w:color w:val="000000"/>
                      <w:szCs w:val="21"/>
                    </w:rPr>
                    <w:t>00</w:t>
                  </w:r>
                </w:p>
              </w:tc>
              <w:tc>
                <w:tcPr>
                  <w:tcW w:w="552" w:type="pct"/>
                  <w:vAlign w:val="center"/>
                </w:tcPr>
                <w:p>
                  <w:pPr>
                    <w:widowControl/>
                    <w:jc w:val="center"/>
                    <w:textAlignment w:val="center"/>
                    <w:rPr>
                      <w:color w:val="000000"/>
                      <w:spacing w:val="4"/>
                    </w:rPr>
                  </w:pPr>
                  <w:r>
                    <w:rPr>
                      <w:rFonts w:hint="eastAsia"/>
                      <w:color w:val="000000"/>
                      <w:spacing w:val="4"/>
                    </w:rPr>
                    <w:t>2.55</w:t>
                  </w:r>
                </w:p>
              </w:tc>
              <w:tc>
                <w:tcPr>
                  <w:tcW w:w="375" w:type="pct"/>
                  <w:vMerge w:val="continue"/>
                  <w:vAlign w:val="center"/>
                </w:tcPr>
                <w:p>
                  <w:pPr>
                    <w:tabs>
                      <w:tab w:val="left" w:pos="0"/>
                    </w:tabs>
                    <w:adjustRightInd w:val="0"/>
                    <w:snapToGrid w:val="0"/>
                    <w:jc w:val="center"/>
                    <w:textAlignment w:val="baseline"/>
                    <w:rPr>
                      <w:color w:val="000000"/>
                      <w:spacing w:val="4"/>
                      <w:szCs w:val="21"/>
                    </w:rPr>
                  </w:pPr>
                </w:p>
              </w:tc>
              <w:tc>
                <w:tcPr>
                  <w:tcW w:w="565" w:type="pct"/>
                  <w:vAlign w:val="center"/>
                </w:tcPr>
                <w:p>
                  <w:pPr>
                    <w:jc w:val="center"/>
                    <w:rPr>
                      <w:color w:val="000000"/>
                      <w:sz w:val="24"/>
                    </w:rPr>
                  </w:pPr>
                  <w:r>
                    <w:rPr>
                      <w:rFonts w:hint="eastAsia"/>
                      <w:color w:val="000000"/>
                      <w:szCs w:val="21"/>
                    </w:rPr>
                    <w:t>5</w:t>
                  </w:r>
                  <w:r>
                    <w:rPr>
                      <w:color w:val="000000"/>
                      <w:szCs w:val="21"/>
                    </w:rPr>
                    <w:t>00</w:t>
                  </w:r>
                </w:p>
              </w:tc>
              <w:tc>
                <w:tcPr>
                  <w:tcW w:w="542" w:type="pct"/>
                  <w:vAlign w:val="center"/>
                </w:tcPr>
                <w:p>
                  <w:pPr>
                    <w:widowControl/>
                    <w:jc w:val="center"/>
                    <w:textAlignment w:val="center"/>
                    <w:rPr>
                      <w:color w:val="000000"/>
                      <w:spacing w:val="4"/>
                    </w:rPr>
                  </w:pPr>
                  <w:r>
                    <w:rPr>
                      <w:rFonts w:hint="eastAsia"/>
                      <w:color w:val="000000"/>
                      <w:spacing w:val="4"/>
                    </w:rPr>
                    <w:t>2.55</w:t>
                  </w:r>
                </w:p>
              </w:tc>
              <w:tc>
                <w:tcPr>
                  <w:tcW w:w="565" w:type="pct"/>
                  <w:vAlign w:val="center"/>
                </w:tcPr>
                <w:p>
                  <w:pPr>
                    <w:tabs>
                      <w:tab w:val="left" w:pos="0"/>
                    </w:tabs>
                    <w:adjustRightInd w:val="0"/>
                    <w:snapToGrid w:val="0"/>
                    <w:jc w:val="center"/>
                    <w:textAlignment w:val="baseline"/>
                    <w:rPr>
                      <w:color w:val="000000"/>
                      <w:spacing w:val="4"/>
                    </w:rPr>
                  </w:pPr>
                  <w:r>
                    <w:rPr>
                      <w:color w:val="000000"/>
                      <w:spacing w:val="4"/>
                    </w:rPr>
                    <w:t>500</w:t>
                  </w:r>
                </w:p>
              </w:tc>
              <w:tc>
                <w:tcPr>
                  <w:tcW w:w="431"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58" w:hRule="atLeast"/>
                <w:tblHeader/>
                <w:jc w:val="center"/>
              </w:trPr>
              <w:tc>
                <w:tcPr>
                  <w:tcW w:w="456" w:type="pct"/>
                  <w:vMerge w:val="continue"/>
                  <w:vAlign w:val="center"/>
                </w:tcPr>
                <w:p>
                  <w:pPr>
                    <w:tabs>
                      <w:tab w:val="left" w:pos="0"/>
                    </w:tabs>
                    <w:adjustRightInd w:val="0"/>
                    <w:snapToGrid w:val="0"/>
                    <w:jc w:val="center"/>
                    <w:textAlignment w:val="baseline"/>
                    <w:rPr>
                      <w:color w:val="000000"/>
                      <w:spacing w:val="4"/>
                    </w:rPr>
                  </w:pPr>
                </w:p>
              </w:tc>
              <w:tc>
                <w:tcPr>
                  <w:tcW w:w="461" w:type="pct"/>
                  <w:vMerge w:val="continue"/>
                  <w:vAlign w:val="center"/>
                </w:tcPr>
                <w:p>
                  <w:pPr>
                    <w:tabs>
                      <w:tab w:val="left" w:pos="0"/>
                    </w:tabs>
                    <w:adjustRightInd w:val="0"/>
                    <w:snapToGrid w:val="0"/>
                    <w:jc w:val="center"/>
                    <w:textAlignment w:val="baseline"/>
                    <w:rPr>
                      <w:color w:val="000000"/>
                      <w:spacing w:val="4"/>
                    </w:rPr>
                  </w:pPr>
                </w:p>
              </w:tc>
              <w:tc>
                <w:tcPr>
                  <w:tcW w:w="482" w:type="pct"/>
                  <w:vAlign w:val="center"/>
                </w:tcPr>
                <w:p>
                  <w:pPr>
                    <w:tabs>
                      <w:tab w:val="left" w:pos="0"/>
                    </w:tabs>
                    <w:adjustRightInd w:val="0"/>
                    <w:snapToGrid w:val="0"/>
                    <w:jc w:val="center"/>
                    <w:textAlignment w:val="baseline"/>
                    <w:rPr>
                      <w:color w:val="000000"/>
                      <w:spacing w:val="4"/>
                    </w:rPr>
                  </w:pPr>
                  <w:r>
                    <w:rPr>
                      <w:color w:val="000000"/>
                      <w:spacing w:val="4"/>
                    </w:rPr>
                    <w:t>SS</w:t>
                  </w:r>
                </w:p>
              </w:tc>
              <w:tc>
                <w:tcPr>
                  <w:tcW w:w="565" w:type="pct"/>
                  <w:vAlign w:val="center"/>
                </w:tcPr>
                <w:p>
                  <w:pPr>
                    <w:jc w:val="center"/>
                    <w:rPr>
                      <w:color w:val="000000"/>
                      <w:spacing w:val="4"/>
                    </w:rPr>
                  </w:pPr>
                  <w:r>
                    <w:rPr>
                      <w:rFonts w:hint="eastAsia"/>
                      <w:color w:val="000000"/>
                      <w:szCs w:val="21"/>
                    </w:rPr>
                    <w:t>4</w:t>
                  </w:r>
                  <w:r>
                    <w:rPr>
                      <w:color w:val="000000"/>
                      <w:szCs w:val="21"/>
                    </w:rPr>
                    <w:t>00</w:t>
                  </w:r>
                </w:p>
              </w:tc>
              <w:tc>
                <w:tcPr>
                  <w:tcW w:w="552" w:type="pct"/>
                  <w:vAlign w:val="center"/>
                </w:tcPr>
                <w:p>
                  <w:pPr>
                    <w:widowControl/>
                    <w:jc w:val="center"/>
                    <w:textAlignment w:val="center"/>
                    <w:rPr>
                      <w:color w:val="000000"/>
                      <w:spacing w:val="4"/>
                    </w:rPr>
                  </w:pPr>
                  <w:r>
                    <w:rPr>
                      <w:rFonts w:hint="eastAsia"/>
                      <w:color w:val="000000"/>
                      <w:spacing w:val="4"/>
                    </w:rPr>
                    <w:t>2.04</w:t>
                  </w:r>
                </w:p>
              </w:tc>
              <w:tc>
                <w:tcPr>
                  <w:tcW w:w="375" w:type="pct"/>
                  <w:vMerge w:val="continue"/>
                  <w:vAlign w:val="center"/>
                </w:tcPr>
                <w:p>
                  <w:pPr>
                    <w:tabs>
                      <w:tab w:val="left" w:pos="0"/>
                    </w:tabs>
                    <w:adjustRightInd w:val="0"/>
                    <w:snapToGrid w:val="0"/>
                    <w:jc w:val="center"/>
                    <w:textAlignment w:val="baseline"/>
                    <w:rPr>
                      <w:color w:val="000000"/>
                      <w:spacing w:val="4"/>
                      <w:szCs w:val="21"/>
                    </w:rPr>
                  </w:pPr>
                </w:p>
              </w:tc>
              <w:tc>
                <w:tcPr>
                  <w:tcW w:w="565" w:type="pct"/>
                  <w:vAlign w:val="center"/>
                </w:tcPr>
                <w:p>
                  <w:pPr>
                    <w:jc w:val="center"/>
                    <w:rPr>
                      <w:color w:val="000000"/>
                      <w:sz w:val="24"/>
                    </w:rPr>
                  </w:pPr>
                  <w:r>
                    <w:rPr>
                      <w:rFonts w:hint="eastAsia"/>
                      <w:color w:val="000000"/>
                      <w:szCs w:val="21"/>
                    </w:rPr>
                    <w:t>4</w:t>
                  </w:r>
                  <w:r>
                    <w:rPr>
                      <w:color w:val="000000"/>
                      <w:szCs w:val="21"/>
                    </w:rPr>
                    <w:t>00</w:t>
                  </w:r>
                </w:p>
              </w:tc>
              <w:tc>
                <w:tcPr>
                  <w:tcW w:w="542" w:type="pct"/>
                  <w:vAlign w:val="center"/>
                </w:tcPr>
                <w:p>
                  <w:pPr>
                    <w:widowControl/>
                    <w:jc w:val="center"/>
                    <w:textAlignment w:val="center"/>
                    <w:rPr>
                      <w:color w:val="000000"/>
                      <w:spacing w:val="4"/>
                    </w:rPr>
                  </w:pPr>
                  <w:r>
                    <w:rPr>
                      <w:rFonts w:hint="eastAsia"/>
                      <w:color w:val="000000"/>
                      <w:spacing w:val="4"/>
                    </w:rPr>
                    <w:t>2.04</w:t>
                  </w:r>
                </w:p>
              </w:tc>
              <w:tc>
                <w:tcPr>
                  <w:tcW w:w="565" w:type="pct"/>
                  <w:vAlign w:val="center"/>
                </w:tcPr>
                <w:p>
                  <w:pPr>
                    <w:tabs>
                      <w:tab w:val="left" w:pos="0"/>
                    </w:tabs>
                    <w:adjustRightInd w:val="0"/>
                    <w:snapToGrid w:val="0"/>
                    <w:jc w:val="center"/>
                    <w:textAlignment w:val="baseline"/>
                    <w:rPr>
                      <w:color w:val="000000"/>
                      <w:spacing w:val="4"/>
                    </w:rPr>
                  </w:pPr>
                  <w:r>
                    <w:rPr>
                      <w:color w:val="000000"/>
                      <w:spacing w:val="4"/>
                    </w:rPr>
                    <w:t>400</w:t>
                  </w:r>
                </w:p>
              </w:tc>
              <w:tc>
                <w:tcPr>
                  <w:tcW w:w="431"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58" w:hRule="atLeast"/>
                <w:tblHeader/>
                <w:jc w:val="center"/>
              </w:trPr>
              <w:tc>
                <w:tcPr>
                  <w:tcW w:w="456" w:type="pct"/>
                  <w:vMerge w:val="continue"/>
                  <w:vAlign w:val="center"/>
                </w:tcPr>
                <w:p>
                  <w:pPr>
                    <w:tabs>
                      <w:tab w:val="left" w:pos="0"/>
                    </w:tabs>
                    <w:adjustRightInd w:val="0"/>
                    <w:snapToGrid w:val="0"/>
                    <w:jc w:val="center"/>
                    <w:textAlignment w:val="baseline"/>
                    <w:rPr>
                      <w:color w:val="000000"/>
                      <w:spacing w:val="4"/>
                    </w:rPr>
                  </w:pPr>
                </w:p>
              </w:tc>
              <w:tc>
                <w:tcPr>
                  <w:tcW w:w="461" w:type="pct"/>
                  <w:vMerge w:val="continue"/>
                  <w:vAlign w:val="center"/>
                </w:tcPr>
                <w:p>
                  <w:pPr>
                    <w:tabs>
                      <w:tab w:val="left" w:pos="0"/>
                    </w:tabs>
                    <w:adjustRightInd w:val="0"/>
                    <w:snapToGrid w:val="0"/>
                    <w:jc w:val="center"/>
                    <w:textAlignment w:val="baseline"/>
                    <w:rPr>
                      <w:color w:val="000000"/>
                      <w:spacing w:val="4"/>
                    </w:rPr>
                  </w:pPr>
                </w:p>
              </w:tc>
              <w:tc>
                <w:tcPr>
                  <w:tcW w:w="482" w:type="pct"/>
                  <w:vAlign w:val="center"/>
                </w:tcPr>
                <w:p>
                  <w:pPr>
                    <w:tabs>
                      <w:tab w:val="left" w:pos="0"/>
                    </w:tabs>
                    <w:adjustRightInd w:val="0"/>
                    <w:snapToGrid w:val="0"/>
                    <w:jc w:val="center"/>
                    <w:textAlignment w:val="baseline"/>
                    <w:rPr>
                      <w:color w:val="000000"/>
                      <w:spacing w:val="4"/>
                    </w:rPr>
                  </w:pPr>
                  <w:r>
                    <w:rPr>
                      <w:color w:val="000000"/>
                      <w:spacing w:val="4"/>
                    </w:rPr>
                    <w:t>氨氮</w:t>
                  </w:r>
                </w:p>
              </w:tc>
              <w:tc>
                <w:tcPr>
                  <w:tcW w:w="565" w:type="pct"/>
                  <w:vAlign w:val="center"/>
                </w:tcPr>
                <w:p>
                  <w:pPr>
                    <w:jc w:val="center"/>
                    <w:rPr>
                      <w:color w:val="000000"/>
                      <w:spacing w:val="4"/>
                    </w:rPr>
                  </w:pPr>
                  <w:r>
                    <w:rPr>
                      <w:rFonts w:hint="eastAsia"/>
                      <w:color w:val="000000"/>
                      <w:szCs w:val="21"/>
                    </w:rPr>
                    <w:t>4</w:t>
                  </w:r>
                  <w:r>
                    <w:rPr>
                      <w:color w:val="000000"/>
                      <w:szCs w:val="21"/>
                    </w:rPr>
                    <w:t>5</w:t>
                  </w:r>
                </w:p>
              </w:tc>
              <w:tc>
                <w:tcPr>
                  <w:tcW w:w="552" w:type="pct"/>
                  <w:vAlign w:val="center"/>
                </w:tcPr>
                <w:p>
                  <w:pPr>
                    <w:widowControl/>
                    <w:jc w:val="center"/>
                    <w:textAlignment w:val="center"/>
                    <w:rPr>
                      <w:color w:val="000000"/>
                      <w:spacing w:val="4"/>
                    </w:rPr>
                  </w:pPr>
                  <w:r>
                    <w:rPr>
                      <w:color w:val="000000"/>
                      <w:spacing w:val="4"/>
                    </w:rPr>
                    <w:t>0.</w:t>
                  </w:r>
                  <w:r>
                    <w:rPr>
                      <w:rFonts w:hint="eastAsia"/>
                      <w:color w:val="000000"/>
                      <w:spacing w:val="4"/>
                    </w:rPr>
                    <w:t>23</w:t>
                  </w:r>
                </w:p>
              </w:tc>
              <w:tc>
                <w:tcPr>
                  <w:tcW w:w="375" w:type="pct"/>
                  <w:vMerge w:val="continue"/>
                  <w:vAlign w:val="center"/>
                </w:tcPr>
                <w:p>
                  <w:pPr>
                    <w:tabs>
                      <w:tab w:val="left" w:pos="0"/>
                    </w:tabs>
                    <w:adjustRightInd w:val="0"/>
                    <w:snapToGrid w:val="0"/>
                    <w:jc w:val="center"/>
                    <w:textAlignment w:val="baseline"/>
                    <w:rPr>
                      <w:color w:val="000000"/>
                      <w:spacing w:val="4"/>
                      <w:szCs w:val="21"/>
                    </w:rPr>
                  </w:pPr>
                </w:p>
              </w:tc>
              <w:tc>
                <w:tcPr>
                  <w:tcW w:w="565" w:type="pct"/>
                  <w:vAlign w:val="center"/>
                </w:tcPr>
                <w:p>
                  <w:pPr>
                    <w:jc w:val="center"/>
                    <w:rPr>
                      <w:color w:val="000000"/>
                      <w:sz w:val="24"/>
                    </w:rPr>
                  </w:pPr>
                  <w:r>
                    <w:rPr>
                      <w:rFonts w:hint="eastAsia"/>
                      <w:color w:val="000000"/>
                      <w:szCs w:val="21"/>
                    </w:rPr>
                    <w:t>4</w:t>
                  </w:r>
                  <w:r>
                    <w:rPr>
                      <w:color w:val="000000"/>
                      <w:szCs w:val="21"/>
                    </w:rPr>
                    <w:t>5</w:t>
                  </w:r>
                </w:p>
              </w:tc>
              <w:tc>
                <w:tcPr>
                  <w:tcW w:w="542" w:type="pct"/>
                  <w:vAlign w:val="center"/>
                </w:tcPr>
                <w:p>
                  <w:pPr>
                    <w:widowControl/>
                    <w:jc w:val="center"/>
                    <w:textAlignment w:val="center"/>
                    <w:rPr>
                      <w:color w:val="000000"/>
                      <w:spacing w:val="4"/>
                    </w:rPr>
                  </w:pPr>
                  <w:r>
                    <w:rPr>
                      <w:color w:val="000000"/>
                      <w:spacing w:val="4"/>
                    </w:rPr>
                    <w:t>0.</w:t>
                  </w:r>
                  <w:r>
                    <w:rPr>
                      <w:rFonts w:hint="eastAsia"/>
                      <w:color w:val="000000"/>
                      <w:spacing w:val="4"/>
                    </w:rPr>
                    <w:t>23</w:t>
                  </w:r>
                </w:p>
              </w:tc>
              <w:tc>
                <w:tcPr>
                  <w:tcW w:w="565" w:type="pct"/>
                  <w:vAlign w:val="center"/>
                </w:tcPr>
                <w:p>
                  <w:pPr>
                    <w:tabs>
                      <w:tab w:val="left" w:pos="0"/>
                    </w:tabs>
                    <w:adjustRightInd w:val="0"/>
                    <w:snapToGrid w:val="0"/>
                    <w:jc w:val="center"/>
                    <w:textAlignment w:val="baseline"/>
                    <w:rPr>
                      <w:color w:val="000000"/>
                      <w:spacing w:val="4"/>
                    </w:rPr>
                  </w:pPr>
                  <w:r>
                    <w:rPr>
                      <w:color w:val="000000"/>
                      <w:spacing w:val="4"/>
                    </w:rPr>
                    <w:t>45</w:t>
                  </w:r>
                </w:p>
              </w:tc>
              <w:tc>
                <w:tcPr>
                  <w:tcW w:w="431"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58" w:hRule="atLeast"/>
                <w:tblHeader/>
                <w:jc w:val="center"/>
              </w:trPr>
              <w:tc>
                <w:tcPr>
                  <w:tcW w:w="456" w:type="pct"/>
                  <w:vMerge w:val="continue"/>
                  <w:vAlign w:val="center"/>
                </w:tcPr>
                <w:p>
                  <w:pPr>
                    <w:tabs>
                      <w:tab w:val="left" w:pos="0"/>
                    </w:tabs>
                    <w:adjustRightInd w:val="0"/>
                    <w:snapToGrid w:val="0"/>
                    <w:jc w:val="center"/>
                    <w:textAlignment w:val="baseline"/>
                    <w:rPr>
                      <w:color w:val="000000"/>
                      <w:spacing w:val="4"/>
                    </w:rPr>
                  </w:pPr>
                </w:p>
              </w:tc>
              <w:tc>
                <w:tcPr>
                  <w:tcW w:w="461" w:type="pct"/>
                  <w:vMerge w:val="continue"/>
                  <w:vAlign w:val="center"/>
                </w:tcPr>
                <w:p>
                  <w:pPr>
                    <w:tabs>
                      <w:tab w:val="left" w:pos="0"/>
                    </w:tabs>
                    <w:adjustRightInd w:val="0"/>
                    <w:snapToGrid w:val="0"/>
                    <w:jc w:val="center"/>
                    <w:textAlignment w:val="baseline"/>
                    <w:rPr>
                      <w:color w:val="000000"/>
                      <w:spacing w:val="4"/>
                    </w:rPr>
                  </w:pPr>
                </w:p>
              </w:tc>
              <w:tc>
                <w:tcPr>
                  <w:tcW w:w="482" w:type="pct"/>
                  <w:vAlign w:val="center"/>
                </w:tcPr>
                <w:p>
                  <w:pPr>
                    <w:tabs>
                      <w:tab w:val="left" w:pos="0"/>
                    </w:tabs>
                    <w:adjustRightInd w:val="0"/>
                    <w:snapToGrid w:val="0"/>
                    <w:jc w:val="center"/>
                    <w:textAlignment w:val="baseline"/>
                    <w:rPr>
                      <w:color w:val="000000"/>
                      <w:spacing w:val="4"/>
                    </w:rPr>
                  </w:pPr>
                  <w:r>
                    <w:rPr>
                      <w:color w:val="000000"/>
                      <w:spacing w:val="4"/>
                    </w:rPr>
                    <w:t>总磷</w:t>
                  </w:r>
                </w:p>
              </w:tc>
              <w:tc>
                <w:tcPr>
                  <w:tcW w:w="565" w:type="pct"/>
                  <w:vAlign w:val="center"/>
                </w:tcPr>
                <w:p>
                  <w:pPr>
                    <w:jc w:val="center"/>
                    <w:rPr>
                      <w:color w:val="000000"/>
                      <w:spacing w:val="4"/>
                    </w:rPr>
                  </w:pPr>
                  <w:r>
                    <w:rPr>
                      <w:rFonts w:hint="eastAsia"/>
                      <w:color w:val="000000"/>
                      <w:spacing w:val="4"/>
                    </w:rPr>
                    <w:t>8</w:t>
                  </w:r>
                </w:p>
              </w:tc>
              <w:tc>
                <w:tcPr>
                  <w:tcW w:w="552" w:type="pct"/>
                  <w:vAlign w:val="center"/>
                </w:tcPr>
                <w:p>
                  <w:pPr>
                    <w:widowControl/>
                    <w:jc w:val="center"/>
                    <w:textAlignment w:val="center"/>
                    <w:rPr>
                      <w:color w:val="000000"/>
                      <w:spacing w:val="4"/>
                    </w:rPr>
                  </w:pPr>
                  <w:r>
                    <w:rPr>
                      <w:color w:val="000000"/>
                      <w:spacing w:val="4"/>
                    </w:rPr>
                    <w:t>0.0</w:t>
                  </w:r>
                  <w:r>
                    <w:rPr>
                      <w:rFonts w:hint="eastAsia"/>
                      <w:color w:val="000000"/>
                      <w:spacing w:val="4"/>
                    </w:rPr>
                    <w:t>41</w:t>
                  </w:r>
                </w:p>
              </w:tc>
              <w:tc>
                <w:tcPr>
                  <w:tcW w:w="375" w:type="pct"/>
                  <w:vMerge w:val="continue"/>
                  <w:vAlign w:val="center"/>
                </w:tcPr>
                <w:p>
                  <w:pPr>
                    <w:tabs>
                      <w:tab w:val="left" w:pos="0"/>
                    </w:tabs>
                    <w:adjustRightInd w:val="0"/>
                    <w:snapToGrid w:val="0"/>
                    <w:jc w:val="center"/>
                    <w:textAlignment w:val="baseline"/>
                    <w:rPr>
                      <w:color w:val="000000"/>
                      <w:spacing w:val="4"/>
                      <w:szCs w:val="21"/>
                    </w:rPr>
                  </w:pPr>
                </w:p>
              </w:tc>
              <w:tc>
                <w:tcPr>
                  <w:tcW w:w="565" w:type="pct"/>
                  <w:vAlign w:val="center"/>
                </w:tcPr>
                <w:p>
                  <w:pPr>
                    <w:jc w:val="center"/>
                    <w:rPr>
                      <w:color w:val="000000"/>
                      <w:sz w:val="24"/>
                    </w:rPr>
                  </w:pPr>
                  <w:r>
                    <w:rPr>
                      <w:rFonts w:hint="eastAsia"/>
                      <w:color w:val="000000"/>
                      <w:spacing w:val="4"/>
                    </w:rPr>
                    <w:t>8</w:t>
                  </w:r>
                </w:p>
              </w:tc>
              <w:tc>
                <w:tcPr>
                  <w:tcW w:w="542" w:type="pct"/>
                  <w:vAlign w:val="center"/>
                </w:tcPr>
                <w:p>
                  <w:pPr>
                    <w:widowControl/>
                    <w:jc w:val="center"/>
                    <w:textAlignment w:val="center"/>
                    <w:rPr>
                      <w:color w:val="000000"/>
                      <w:spacing w:val="4"/>
                    </w:rPr>
                  </w:pPr>
                  <w:r>
                    <w:rPr>
                      <w:color w:val="000000"/>
                      <w:spacing w:val="4"/>
                    </w:rPr>
                    <w:t>0.0</w:t>
                  </w:r>
                  <w:r>
                    <w:rPr>
                      <w:rFonts w:hint="eastAsia"/>
                      <w:color w:val="000000"/>
                      <w:spacing w:val="4"/>
                    </w:rPr>
                    <w:t>41</w:t>
                  </w:r>
                </w:p>
              </w:tc>
              <w:tc>
                <w:tcPr>
                  <w:tcW w:w="565" w:type="pct"/>
                  <w:vAlign w:val="center"/>
                </w:tcPr>
                <w:p>
                  <w:pPr>
                    <w:tabs>
                      <w:tab w:val="left" w:pos="0"/>
                    </w:tabs>
                    <w:adjustRightInd w:val="0"/>
                    <w:snapToGrid w:val="0"/>
                    <w:jc w:val="center"/>
                    <w:textAlignment w:val="baseline"/>
                    <w:rPr>
                      <w:color w:val="000000"/>
                      <w:spacing w:val="4"/>
                    </w:rPr>
                  </w:pPr>
                  <w:r>
                    <w:rPr>
                      <w:color w:val="000000"/>
                      <w:spacing w:val="4"/>
                    </w:rPr>
                    <w:t>8</w:t>
                  </w:r>
                </w:p>
              </w:tc>
              <w:tc>
                <w:tcPr>
                  <w:tcW w:w="431"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58" w:hRule="atLeast"/>
                <w:tblHeader/>
                <w:jc w:val="center"/>
              </w:trPr>
              <w:tc>
                <w:tcPr>
                  <w:tcW w:w="456" w:type="pct"/>
                  <w:vMerge w:val="continue"/>
                  <w:vAlign w:val="center"/>
                </w:tcPr>
                <w:p>
                  <w:pPr>
                    <w:tabs>
                      <w:tab w:val="left" w:pos="0"/>
                    </w:tabs>
                    <w:adjustRightInd w:val="0"/>
                    <w:snapToGrid w:val="0"/>
                    <w:jc w:val="center"/>
                    <w:textAlignment w:val="baseline"/>
                    <w:rPr>
                      <w:color w:val="000000"/>
                      <w:spacing w:val="4"/>
                    </w:rPr>
                  </w:pPr>
                </w:p>
              </w:tc>
              <w:tc>
                <w:tcPr>
                  <w:tcW w:w="461" w:type="pct"/>
                  <w:vMerge w:val="continue"/>
                  <w:vAlign w:val="center"/>
                </w:tcPr>
                <w:p>
                  <w:pPr>
                    <w:tabs>
                      <w:tab w:val="left" w:pos="0"/>
                    </w:tabs>
                    <w:adjustRightInd w:val="0"/>
                    <w:snapToGrid w:val="0"/>
                    <w:jc w:val="center"/>
                    <w:textAlignment w:val="baseline"/>
                    <w:rPr>
                      <w:color w:val="000000"/>
                      <w:spacing w:val="4"/>
                    </w:rPr>
                  </w:pPr>
                </w:p>
              </w:tc>
              <w:tc>
                <w:tcPr>
                  <w:tcW w:w="482" w:type="pct"/>
                  <w:vAlign w:val="center"/>
                </w:tcPr>
                <w:p>
                  <w:pPr>
                    <w:tabs>
                      <w:tab w:val="left" w:pos="0"/>
                    </w:tabs>
                    <w:adjustRightInd w:val="0"/>
                    <w:snapToGrid w:val="0"/>
                    <w:jc w:val="center"/>
                    <w:textAlignment w:val="baseline"/>
                    <w:rPr>
                      <w:color w:val="000000"/>
                      <w:spacing w:val="4"/>
                    </w:rPr>
                  </w:pPr>
                  <w:r>
                    <w:rPr>
                      <w:color w:val="000000"/>
                      <w:spacing w:val="4"/>
                    </w:rPr>
                    <w:t>总氮</w:t>
                  </w:r>
                </w:p>
              </w:tc>
              <w:tc>
                <w:tcPr>
                  <w:tcW w:w="565" w:type="pct"/>
                  <w:vAlign w:val="center"/>
                </w:tcPr>
                <w:p>
                  <w:pPr>
                    <w:jc w:val="center"/>
                    <w:rPr>
                      <w:color w:val="000000"/>
                      <w:szCs w:val="21"/>
                    </w:rPr>
                  </w:pPr>
                  <w:r>
                    <w:rPr>
                      <w:rFonts w:hint="eastAsia"/>
                      <w:color w:val="000000"/>
                    </w:rPr>
                    <w:t>7</w:t>
                  </w:r>
                  <w:r>
                    <w:rPr>
                      <w:color w:val="000000"/>
                    </w:rPr>
                    <w:t>0</w:t>
                  </w:r>
                </w:p>
              </w:tc>
              <w:tc>
                <w:tcPr>
                  <w:tcW w:w="552" w:type="pct"/>
                  <w:vAlign w:val="center"/>
                </w:tcPr>
                <w:p>
                  <w:pPr>
                    <w:widowControl/>
                    <w:jc w:val="center"/>
                    <w:textAlignment w:val="center"/>
                    <w:rPr>
                      <w:color w:val="000000"/>
                      <w:spacing w:val="4"/>
                    </w:rPr>
                  </w:pPr>
                  <w:r>
                    <w:rPr>
                      <w:color w:val="000000"/>
                      <w:spacing w:val="4"/>
                    </w:rPr>
                    <w:t>0.</w:t>
                  </w:r>
                  <w:r>
                    <w:rPr>
                      <w:rFonts w:hint="eastAsia"/>
                      <w:color w:val="000000"/>
                      <w:spacing w:val="4"/>
                    </w:rPr>
                    <w:t>357</w:t>
                  </w:r>
                </w:p>
              </w:tc>
              <w:tc>
                <w:tcPr>
                  <w:tcW w:w="375" w:type="pct"/>
                  <w:vMerge w:val="continue"/>
                  <w:vAlign w:val="center"/>
                </w:tcPr>
                <w:p>
                  <w:pPr>
                    <w:tabs>
                      <w:tab w:val="left" w:pos="0"/>
                    </w:tabs>
                    <w:adjustRightInd w:val="0"/>
                    <w:snapToGrid w:val="0"/>
                    <w:jc w:val="center"/>
                    <w:textAlignment w:val="baseline"/>
                    <w:rPr>
                      <w:color w:val="000000"/>
                      <w:spacing w:val="4"/>
                      <w:szCs w:val="21"/>
                    </w:rPr>
                  </w:pPr>
                </w:p>
              </w:tc>
              <w:tc>
                <w:tcPr>
                  <w:tcW w:w="565" w:type="pct"/>
                  <w:vAlign w:val="center"/>
                </w:tcPr>
                <w:p>
                  <w:pPr>
                    <w:jc w:val="center"/>
                    <w:rPr>
                      <w:color w:val="000000"/>
                      <w:szCs w:val="21"/>
                    </w:rPr>
                  </w:pPr>
                  <w:r>
                    <w:rPr>
                      <w:rFonts w:hint="eastAsia"/>
                      <w:color w:val="000000"/>
                    </w:rPr>
                    <w:t>7</w:t>
                  </w:r>
                  <w:r>
                    <w:rPr>
                      <w:color w:val="000000"/>
                    </w:rPr>
                    <w:t>0</w:t>
                  </w:r>
                </w:p>
              </w:tc>
              <w:tc>
                <w:tcPr>
                  <w:tcW w:w="542" w:type="pct"/>
                  <w:vAlign w:val="center"/>
                </w:tcPr>
                <w:p>
                  <w:pPr>
                    <w:widowControl/>
                    <w:jc w:val="center"/>
                    <w:textAlignment w:val="center"/>
                    <w:rPr>
                      <w:color w:val="000000"/>
                      <w:spacing w:val="4"/>
                    </w:rPr>
                  </w:pPr>
                  <w:r>
                    <w:rPr>
                      <w:color w:val="000000"/>
                      <w:spacing w:val="4"/>
                    </w:rPr>
                    <w:t>0.</w:t>
                  </w:r>
                  <w:r>
                    <w:rPr>
                      <w:rFonts w:hint="eastAsia"/>
                      <w:color w:val="000000"/>
                      <w:spacing w:val="4"/>
                    </w:rPr>
                    <w:t>357</w:t>
                  </w:r>
                </w:p>
              </w:tc>
              <w:tc>
                <w:tcPr>
                  <w:tcW w:w="565" w:type="pct"/>
                  <w:vAlign w:val="center"/>
                </w:tcPr>
                <w:p>
                  <w:pPr>
                    <w:tabs>
                      <w:tab w:val="left" w:pos="0"/>
                    </w:tabs>
                    <w:adjustRightInd w:val="0"/>
                    <w:snapToGrid w:val="0"/>
                    <w:jc w:val="center"/>
                    <w:textAlignment w:val="baseline"/>
                    <w:rPr>
                      <w:color w:val="000000"/>
                      <w:spacing w:val="4"/>
                    </w:rPr>
                  </w:pPr>
                  <w:r>
                    <w:rPr>
                      <w:color w:val="000000"/>
                      <w:spacing w:val="4"/>
                    </w:rPr>
                    <w:t>70</w:t>
                  </w:r>
                </w:p>
              </w:tc>
              <w:tc>
                <w:tcPr>
                  <w:tcW w:w="431" w:type="pct"/>
                  <w:vMerge w:val="continue"/>
                  <w:vAlign w:val="center"/>
                </w:tcPr>
                <w:p>
                  <w:pPr>
                    <w:tabs>
                      <w:tab w:val="left" w:pos="0"/>
                    </w:tabs>
                    <w:adjustRightInd w:val="0"/>
                    <w:snapToGrid w:val="0"/>
                    <w:jc w:val="center"/>
                    <w:textAlignment w:val="baseline"/>
                    <w:rPr>
                      <w:color w:val="000000"/>
                      <w:spacing w:val="4"/>
                    </w:rPr>
                  </w:pPr>
                </w:p>
              </w:tc>
            </w:tr>
          </w:tbl>
          <w:p>
            <w:pPr>
              <w:tabs>
                <w:tab w:val="left" w:pos="0"/>
              </w:tabs>
              <w:spacing w:line="360" w:lineRule="auto"/>
              <w:ind w:firstLine="480" w:firstLineChars="200"/>
              <w:rPr>
                <w:color w:val="000000"/>
                <w:sz w:val="24"/>
              </w:rPr>
            </w:pPr>
            <w:r>
              <w:rPr>
                <w:color w:val="000000"/>
                <w:sz w:val="24"/>
              </w:rPr>
              <w:t>（2）污染源排放量核算结果</w:t>
            </w:r>
          </w:p>
          <w:p>
            <w:pPr>
              <w:tabs>
                <w:tab w:val="left" w:pos="0"/>
              </w:tabs>
              <w:spacing w:before="60"/>
              <w:jc w:val="center"/>
              <w:rPr>
                <w:b/>
                <w:color w:val="000000"/>
                <w:sz w:val="24"/>
              </w:rPr>
            </w:pPr>
            <w:r>
              <w:rPr>
                <w:b/>
                <w:color w:val="000000"/>
                <w:sz w:val="24"/>
              </w:rPr>
              <w:t>表4-1</w:t>
            </w:r>
            <w:r>
              <w:rPr>
                <w:rFonts w:hint="eastAsia"/>
                <w:b/>
                <w:color w:val="000000"/>
                <w:sz w:val="24"/>
              </w:rPr>
              <w:t>4</w:t>
            </w:r>
            <w:r>
              <w:rPr>
                <w:b/>
                <w:color w:val="000000"/>
                <w:sz w:val="24"/>
              </w:rPr>
              <w:t xml:space="preserve">  废水类别、污染物及污染治理设施信息表                        </w:t>
            </w:r>
          </w:p>
          <w:tbl>
            <w:tblPr>
              <w:tblStyle w:val="20"/>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8"/>
              <w:gridCol w:w="722"/>
              <w:gridCol w:w="1098"/>
              <w:gridCol w:w="784"/>
              <w:gridCol w:w="1154"/>
              <w:gridCol w:w="762"/>
              <w:gridCol w:w="820"/>
              <w:gridCol w:w="742"/>
              <w:gridCol w:w="991"/>
              <w:gridCol w:w="923"/>
              <w:gridCol w:w="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 w:hRule="atLeast"/>
                <w:jc w:val="center"/>
              </w:trPr>
              <w:tc>
                <w:tcPr>
                  <w:tcW w:w="264" w:type="pct"/>
                  <w:vMerge w:val="restart"/>
                  <w:vAlign w:val="center"/>
                </w:tcPr>
                <w:p>
                  <w:pPr>
                    <w:tabs>
                      <w:tab w:val="left" w:pos="0"/>
                    </w:tabs>
                    <w:adjustRightInd w:val="0"/>
                    <w:snapToGrid w:val="0"/>
                    <w:jc w:val="center"/>
                    <w:textAlignment w:val="baseline"/>
                    <w:rPr>
                      <w:b/>
                      <w:bCs/>
                      <w:color w:val="000000"/>
                    </w:rPr>
                  </w:pPr>
                  <w:r>
                    <w:rPr>
                      <w:b/>
                      <w:bCs/>
                      <w:color w:val="000000"/>
                    </w:rPr>
                    <w:t>序号</w:t>
                  </w:r>
                </w:p>
              </w:tc>
              <w:tc>
                <w:tcPr>
                  <w:tcW w:w="398" w:type="pct"/>
                  <w:vMerge w:val="restart"/>
                  <w:vAlign w:val="center"/>
                </w:tcPr>
                <w:p>
                  <w:pPr>
                    <w:tabs>
                      <w:tab w:val="left" w:pos="0"/>
                    </w:tabs>
                    <w:adjustRightInd w:val="0"/>
                    <w:snapToGrid w:val="0"/>
                    <w:jc w:val="center"/>
                    <w:textAlignment w:val="baseline"/>
                    <w:rPr>
                      <w:b/>
                      <w:bCs/>
                      <w:color w:val="000000"/>
                    </w:rPr>
                  </w:pPr>
                  <w:r>
                    <w:rPr>
                      <w:b/>
                      <w:bCs/>
                      <w:color w:val="000000"/>
                    </w:rPr>
                    <w:t>废水类别</w:t>
                  </w:r>
                </w:p>
              </w:tc>
              <w:tc>
                <w:tcPr>
                  <w:tcW w:w="605" w:type="pct"/>
                  <w:vMerge w:val="restart"/>
                  <w:vAlign w:val="center"/>
                </w:tcPr>
                <w:p>
                  <w:pPr>
                    <w:tabs>
                      <w:tab w:val="left" w:pos="0"/>
                    </w:tabs>
                    <w:adjustRightInd w:val="0"/>
                    <w:snapToGrid w:val="0"/>
                    <w:jc w:val="center"/>
                    <w:textAlignment w:val="baseline"/>
                    <w:rPr>
                      <w:b/>
                      <w:bCs/>
                      <w:color w:val="000000"/>
                    </w:rPr>
                  </w:pPr>
                  <w:r>
                    <w:rPr>
                      <w:b/>
                      <w:bCs/>
                      <w:color w:val="000000"/>
                    </w:rPr>
                    <w:t>污染物种类</w:t>
                  </w:r>
                </w:p>
              </w:tc>
              <w:tc>
                <w:tcPr>
                  <w:tcW w:w="432" w:type="pct"/>
                  <w:vMerge w:val="restart"/>
                  <w:vAlign w:val="center"/>
                </w:tcPr>
                <w:p>
                  <w:pPr>
                    <w:tabs>
                      <w:tab w:val="left" w:pos="0"/>
                    </w:tabs>
                    <w:adjustRightInd w:val="0"/>
                    <w:snapToGrid w:val="0"/>
                    <w:jc w:val="center"/>
                    <w:textAlignment w:val="baseline"/>
                    <w:rPr>
                      <w:b/>
                      <w:bCs/>
                      <w:color w:val="000000"/>
                    </w:rPr>
                  </w:pPr>
                  <w:r>
                    <w:rPr>
                      <w:b/>
                      <w:bCs/>
                      <w:color w:val="000000"/>
                    </w:rPr>
                    <w:t>排放去向</w:t>
                  </w:r>
                </w:p>
              </w:tc>
              <w:tc>
                <w:tcPr>
                  <w:tcW w:w="636" w:type="pct"/>
                  <w:vMerge w:val="restart"/>
                  <w:vAlign w:val="center"/>
                </w:tcPr>
                <w:p>
                  <w:pPr>
                    <w:tabs>
                      <w:tab w:val="left" w:pos="0"/>
                    </w:tabs>
                    <w:adjustRightInd w:val="0"/>
                    <w:snapToGrid w:val="0"/>
                    <w:jc w:val="center"/>
                    <w:textAlignment w:val="baseline"/>
                    <w:rPr>
                      <w:b/>
                      <w:bCs/>
                      <w:color w:val="000000"/>
                    </w:rPr>
                  </w:pPr>
                  <w:r>
                    <w:rPr>
                      <w:b/>
                      <w:bCs/>
                      <w:color w:val="000000"/>
                    </w:rPr>
                    <w:t>排放规律</w:t>
                  </w:r>
                </w:p>
              </w:tc>
              <w:tc>
                <w:tcPr>
                  <w:tcW w:w="1281" w:type="pct"/>
                  <w:gridSpan w:val="3"/>
                  <w:vAlign w:val="center"/>
                </w:tcPr>
                <w:p>
                  <w:pPr>
                    <w:tabs>
                      <w:tab w:val="left" w:pos="0"/>
                    </w:tabs>
                    <w:adjustRightInd w:val="0"/>
                    <w:snapToGrid w:val="0"/>
                    <w:jc w:val="center"/>
                    <w:textAlignment w:val="baseline"/>
                    <w:rPr>
                      <w:b/>
                      <w:bCs/>
                      <w:color w:val="000000"/>
                    </w:rPr>
                  </w:pPr>
                  <w:r>
                    <w:rPr>
                      <w:b/>
                      <w:bCs/>
                      <w:color w:val="000000"/>
                    </w:rPr>
                    <w:t>污染治理设施</w:t>
                  </w:r>
                </w:p>
              </w:tc>
              <w:tc>
                <w:tcPr>
                  <w:tcW w:w="546" w:type="pct"/>
                  <w:vMerge w:val="restart"/>
                  <w:vAlign w:val="center"/>
                </w:tcPr>
                <w:p>
                  <w:pPr>
                    <w:tabs>
                      <w:tab w:val="left" w:pos="0"/>
                    </w:tabs>
                    <w:adjustRightInd w:val="0"/>
                    <w:snapToGrid w:val="0"/>
                    <w:jc w:val="center"/>
                    <w:textAlignment w:val="baseline"/>
                    <w:rPr>
                      <w:b/>
                      <w:bCs/>
                      <w:color w:val="000000"/>
                    </w:rPr>
                  </w:pPr>
                  <w:r>
                    <w:rPr>
                      <w:b/>
                      <w:bCs/>
                      <w:color w:val="000000"/>
                    </w:rPr>
                    <w:t>排放口编号</w:t>
                  </w:r>
                </w:p>
              </w:tc>
              <w:tc>
                <w:tcPr>
                  <w:tcW w:w="509" w:type="pct"/>
                  <w:vMerge w:val="restart"/>
                  <w:vAlign w:val="center"/>
                </w:tcPr>
                <w:p>
                  <w:pPr>
                    <w:tabs>
                      <w:tab w:val="left" w:pos="0"/>
                    </w:tabs>
                    <w:adjustRightInd w:val="0"/>
                    <w:snapToGrid w:val="0"/>
                    <w:jc w:val="center"/>
                    <w:textAlignment w:val="baseline"/>
                    <w:rPr>
                      <w:b/>
                      <w:bCs/>
                      <w:color w:val="000000"/>
                    </w:rPr>
                  </w:pPr>
                  <w:r>
                    <w:rPr>
                      <w:b/>
                      <w:bCs/>
                      <w:color w:val="000000"/>
                    </w:rPr>
                    <w:t>排放口设置是否符合要求</w:t>
                  </w:r>
                </w:p>
              </w:tc>
              <w:tc>
                <w:tcPr>
                  <w:tcW w:w="324" w:type="pct"/>
                  <w:vMerge w:val="restart"/>
                  <w:vAlign w:val="center"/>
                </w:tcPr>
                <w:p>
                  <w:pPr>
                    <w:tabs>
                      <w:tab w:val="left" w:pos="0"/>
                    </w:tabs>
                    <w:adjustRightInd w:val="0"/>
                    <w:snapToGrid w:val="0"/>
                    <w:jc w:val="center"/>
                    <w:textAlignment w:val="baseline"/>
                    <w:rPr>
                      <w:b/>
                      <w:bCs/>
                      <w:color w:val="000000"/>
                    </w:rPr>
                  </w:pPr>
                  <w:r>
                    <w:rPr>
                      <w:b/>
                      <w:bCs/>
                      <w:color w:val="000000"/>
                    </w:rPr>
                    <w:t>排放口类型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4" w:hRule="atLeast"/>
                <w:jc w:val="center"/>
              </w:trPr>
              <w:tc>
                <w:tcPr>
                  <w:tcW w:w="264" w:type="pct"/>
                  <w:vMerge w:val="continue"/>
                  <w:vAlign w:val="center"/>
                </w:tcPr>
                <w:p>
                  <w:pPr>
                    <w:snapToGrid w:val="0"/>
                    <w:spacing w:line="216" w:lineRule="auto"/>
                    <w:jc w:val="center"/>
                    <w:rPr>
                      <w:color w:val="000000"/>
                      <w:sz w:val="24"/>
                    </w:rPr>
                  </w:pPr>
                </w:p>
              </w:tc>
              <w:tc>
                <w:tcPr>
                  <w:tcW w:w="398" w:type="pct"/>
                  <w:vMerge w:val="continue"/>
                  <w:vAlign w:val="center"/>
                </w:tcPr>
                <w:p>
                  <w:pPr>
                    <w:snapToGrid w:val="0"/>
                    <w:spacing w:line="216" w:lineRule="auto"/>
                    <w:jc w:val="center"/>
                    <w:rPr>
                      <w:color w:val="000000"/>
                      <w:sz w:val="24"/>
                    </w:rPr>
                  </w:pPr>
                </w:p>
              </w:tc>
              <w:tc>
                <w:tcPr>
                  <w:tcW w:w="605" w:type="pct"/>
                  <w:vMerge w:val="continue"/>
                  <w:vAlign w:val="center"/>
                </w:tcPr>
                <w:p>
                  <w:pPr>
                    <w:snapToGrid w:val="0"/>
                    <w:spacing w:line="216" w:lineRule="auto"/>
                    <w:jc w:val="center"/>
                    <w:rPr>
                      <w:color w:val="000000"/>
                      <w:sz w:val="24"/>
                    </w:rPr>
                  </w:pPr>
                </w:p>
              </w:tc>
              <w:tc>
                <w:tcPr>
                  <w:tcW w:w="432" w:type="pct"/>
                  <w:vMerge w:val="continue"/>
                  <w:vAlign w:val="center"/>
                </w:tcPr>
                <w:p>
                  <w:pPr>
                    <w:snapToGrid w:val="0"/>
                    <w:spacing w:line="216" w:lineRule="auto"/>
                    <w:jc w:val="center"/>
                    <w:rPr>
                      <w:color w:val="000000"/>
                      <w:sz w:val="24"/>
                    </w:rPr>
                  </w:pPr>
                </w:p>
              </w:tc>
              <w:tc>
                <w:tcPr>
                  <w:tcW w:w="636" w:type="pct"/>
                  <w:vMerge w:val="continue"/>
                  <w:vAlign w:val="center"/>
                </w:tcPr>
                <w:p>
                  <w:pPr>
                    <w:snapToGrid w:val="0"/>
                    <w:spacing w:line="216" w:lineRule="auto"/>
                    <w:jc w:val="center"/>
                    <w:rPr>
                      <w:color w:val="000000"/>
                      <w:sz w:val="24"/>
                    </w:rPr>
                  </w:pPr>
                </w:p>
              </w:tc>
              <w:tc>
                <w:tcPr>
                  <w:tcW w:w="420" w:type="pct"/>
                  <w:vAlign w:val="center"/>
                </w:tcPr>
                <w:p>
                  <w:pPr>
                    <w:tabs>
                      <w:tab w:val="left" w:pos="0"/>
                    </w:tabs>
                    <w:adjustRightInd w:val="0"/>
                    <w:snapToGrid w:val="0"/>
                    <w:jc w:val="center"/>
                    <w:textAlignment w:val="baseline"/>
                    <w:rPr>
                      <w:b/>
                      <w:color w:val="000000"/>
                      <w:szCs w:val="22"/>
                    </w:rPr>
                  </w:pPr>
                  <w:r>
                    <w:rPr>
                      <w:b/>
                      <w:color w:val="000000"/>
                      <w:szCs w:val="22"/>
                    </w:rPr>
                    <w:t>污染治理设施编号</w:t>
                  </w:r>
                </w:p>
              </w:tc>
              <w:tc>
                <w:tcPr>
                  <w:tcW w:w="452" w:type="pct"/>
                  <w:vAlign w:val="center"/>
                </w:tcPr>
                <w:p>
                  <w:pPr>
                    <w:tabs>
                      <w:tab w:val="left" w:pos="0"/>
                    </w:tabs>
                    <w:adjustRightInd w:val="0"/>
                    <w:snapToGrid w:val="0"/>
                    <w:jc w:val="center"/>
                    <w:textAlignment w:val="baseline"/>
                    <w:rPr>
                      <w:b/>
                      <w:color w:val="000000"/>
                      <w:szCs w:val="22"/>
                    </w:rPr>
                  </w:pPr>
                  <w:r>
                    <w:rPr>
                      <w:b/>
                      <w:color w:val="000000"/>
                      <w:szCs w:val="22"/>
                    </w:rPr>
                    <w:t>污染治理设施名称</w:t>
                  </w:r>
                </w:p>
              </w:tc>
              <w:tc>
                <w:tcPr>
                  <w:tcW w:w="408" w:type="pct"/>
                  <w:vAlign w:val="center"/>
                </w:tcPr>
                <w:p>
                  <w:pPr>
                    <w:tabs>
                      <w:tab w:val="left" w:pos="0"/>
                    </w:tabs>
                    <w:adjustRightInd w:val="0"/>
                    <w:snapToGrid w:val="0"/>
                    <w:jc w:val="center"/>
                    <w:textAlignment w:val="baseline"/>
                    <w:rPr>
                      <w:b/>
                      <w:color w:val="000000"/>
                      <w:szCs w:val="22"/>
                    </w:rPr>
                  </w:pPr>
                  <w:r>
                    <w:rPr>
                      <w:b/>
                      <w:color w:val="000000"/>
                      <w:szCs w:val="22"/>
                    </w:rPr>
                    <w:t>污染治理设施工艺</w:t>
                  </w:r>
                </w:p>
              </w:tc>
              <w:tc>
                <w:tcPr>
                  <w:tcW w:w="546" w:type="pct"/>
                  <w:vMerge w:val="continue"/>
                  <w:vAlign w:val="center"/>
                </w:tcPr>
                <w:p>
                  <w:pPr>
                    <w:snapToGrid w:val="0"/>
                    <w:spacing w:line="216" w:lineRule="auto"/>
                    <w:jc w:val="center"/>
                    <w:rPr>
                      <w:b/>
                      <w:color w:val="000000"/>
                      <w:sz w:val="24"/>
                      <w:szCs w:val="21"/>
                    </w:rPr>
                  </w:pPr>
                </w:p>
              </w:tc>
              <w:tc>
                <w:tcPr>
                  <w:tcW w:w="509" w:type="pct"/>
                  <w:vMerge w:val="continue"/>
                  <w:vAlign w:val="center"/>
                </w:tcPr>
                <w:p>
                  <w:pPr>
                    <w:snapToGrid w:val="0"/>
                    <w:spacing w:line="216" w:lineRule="auto"/>
                    <w:jc w:val="center"/>
                    <w:rPr>
                      <w:b/>
                      <w:color w:val="000000"/>
                      <w:sz w:val="24"/>
                      <w:szCs w:val="21"/>
                    </w:rPr>
                  </w:pPr>
                </w:p>
              </w:tc>
              <w:tc>
                <w:tcPr>
                  <w:tcW w:w="324" w:type="pct"/>
                  <w:vMerge w:val="continue"/>
                  <w:vAlign w:val="center"/>
                </w:tcPr>
                <w:p>
                  <w:pPr>
                    <w:snapToGrid w:val="0"/>
                    <w:spacing w:line="216" w:lineRule="auto"/>
                    <w:jc w:val="center"/>
                    <w:rPr>
                      <w:b/>
                      <w:color w:val="00000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264" w:type="pct"/>
                  <w:vAlign w:val="center"/>
                </w:tcPr>
                <w:p>
                  <w:pPr>
                    <w:tabs>
                      <w:tab w:val="left" w:pos="0"/>
                    </w:tabs>
                    <w:adjustRightInd w:val="0"/>
                    <w:snapToGrid w:val="0"/>
                    <w:jc w:val="center"/>
                    <w:textAlignment w:val="baseline"/>
                    <w:rPr>
                      <w:bCs/>
                      <w:color w:val="000000"/>
                      <w:szCs w:val="22"/>
                    </w:rPr>
                  </w:pPr>
                  <w:r>
                    <w:rPr>
                      <w:bCs/>
                      <w:color w:val="000000"/>
                      <w:szCs w:val="22"/>
                    </w:rPr>
                    <w:t>1</w:t>
                  </w:r>
                </w:p>
              </w:tc>
              <w:tc>
                <w:tcPr>
                  <w:tcW w:w="398" w:type="pct"/>
                  <w:vAlign w:val="center"/>
                </w:tcPr>
                <w:p>
                  <w:pPr>
                    <w:tabs>
                      <w:tab w:val="left" w:pos="0"/>
                    </w:tabs>
                    <w:adjustRightInd w:val="0"/>
                    <w:snapToGrid w:val="0"/>
                    <w:jc w:val="center"/>
                    <w:textAlignment w:val="baseline"/>
                    <w:rPr>
                      <w:color w:val="000000"/>
                    </w:rPr>
                  </w:pPr>
                  <w:r>
                    <w:rPr>
                      <w:color w:val="000000"/>
                    </w:rPr>
                    <w:t>生活</w:t>
                  </w:r>
                </w:p>
                <w:p>
                  <w:pPr>
                    <w:tabs>
                      <w:tab w:val="left" w:pos="0"/>
                    </w:tabs>
                    <w:adjustRightInd w:val="0"/>
                    <w:snapToGrid w:val="0"/>
                    <w:jc w:val="center"/>
                    <w:textAlignment w:val="baseline"/>
                    <w:rPr>
                      <w:bCs/>
                      <w:color w:val="000000"/>
                      <w:szCs w:val="22"/>
                    </w:rPr>
                  </w:pPr>
                  <w:r>
                    <w:rPr>
                      <w:color w:val="000000"/>
                    </w:rPr>
                    <w:t>污水</w:t>
                  </w:r>
                </w:p>
              </w:tc>
              <w:tc>
                <w:tcPr>
                  <w:tcW w:w="605" w:type="pct"/>
                  <w:vAlign w:val="center"/>
                </w:tcPr>
                <w:p>
                  <w:pPr>
                    <w:tabs>
                      <w:tab w:val="left" w:pos="0"/>
                    </w:tabs>
                    <w:adjustRightInd w:val="0"/>
                    <w:snapToGrid w:val="0"/>
                    <w:jc w:val="center"/>
                    <w:textAlignment w:val="baseline"/>
                    <w:rPr>
                      <w:bCs/>
                      <w:color w:val="000000"/>
                      <w:szCs w:val="22"/>
                    </w:rPr>
                  </w:pPr>
                  <w:r>
                    <w:rPr>
                      <w:bCs/>
                      <w:color w:val="000000"/>
                      <w:szCs w:val="22"/>
                    </w:rPr>
                    <w:t>pH、COD、SS</w:t>
                  </w:r>
                  <w:r>
                    <w:rPr>
                      <w:rFonts w:hint="eastAsia"/>
                      <w:bCs/>
                      <w:color w:val="000000"/>
                      <w:szCs w:val="22"/>
                    </w:rPr>
                    <w:t>、</w:t>
                  </w:r>
                  <w:r>
                    <w:rPr>
                      <w:bCs/>
                      <w:color w:val="000000"/>
                      <w:szCs w:val="22"/>
                    </w:rPr>
                    <w:t>氨氮、总磷、总氮</w:t>
                  </w:r>
                </w:p>
              </w:tc>
              <w:tc>
                <w:tcPr>
                  <w:tcW w:w="432" w:type="pct"/>
                  <w:vAlign w:val="center"/>
                </w:tcPr>
                <w:p>
                  <w:pPr>
                    <w:tabs>
                      <w:tab w:val="left" w:pos="0"/>
                    </w:tabs>
                    <w:adjustRightInd w:val="0"/>
                    <w:snapToGrid w:val="0"/>
                    <w:jc w:val="center"/>
                    <w:textAlignment w:val="baseline"/>
                    <w:rPr>
                      <w:bCs/>
                      <w:color w:val="000000"/>
                      <w:szCs w:val="22"/>
                    </w:rPr>
                  </w:pPr>
                  <w:r>
                    <w:rPr>
                      <w:rFonts w:hint="eastAsia"/>
                      <w:color w:val="000000"/>
                    </w:rPr>
                    <w:t>科技城水质净化厂</w:t>
                  </w:r>
                </w:p>
              </w:tc>
              <w:tc>
                <w:tcPr>
                  <w:tcW w:w="636" w:type="pct"/>
                  <w:vAlign w:val="center"/>
                </w:tcPr>
                <w:p>
                  <w:pPr>
                    <w:tabs>
                      <w:tab w:val="left" w:pos="0"/>
                    </w:tabs>
                    <w:adjustRightInd w:val="0"/>
                    <w:snapToGrid w:val="0"/>
                    <w:jc w:val="center"/>
                    <w:textAlignment w:val="baseline"/>
                    <w:rPr>
                      <w:bCs/>
                      <w:color w:val="000000"/>
                      <w:szCs w:val="22"/>
                    </w:rPr>
                  </w:pPr>
                  <w:r>
                    <w:rPr>
                      <w:bCs/>
                      <w:color w:val="000000"/>
                      <w:szCs w:val="22"/>
                    </w:rPr>
                    <w:t>间断排放，排放期间流量不稳定且无规律，但不属于冲击型排放</w:t>
                  </w:r>
                </w:p>
              </w:tc>
              <w:tc>
                <w:tcPr>
                  <w:tcW w:w="420" w:type="pct"/>
                  <w:vAlign w:val="center"/>
                </w:tcPr>
                <w:p>
                  <w:pPr>
                    <w:tabs>
                      <w:tab w:val="left" w:pos="0"/>
                    </w:tabs>
                    <w:adjustRightInd w:val="0"/>
                    <w:snapToGrid w:val="0"/>
                    <w:jc w:val="center"/>
                    <w:textAlignment w:val="baseline"/>
                    <w:rPr>
                      <w:bCs/>
                      <w:color w:val="000000"/>
                      <w:szCs w:val="22"/>
                    </w:rPr>
                  </w:pPr>
                  <w:r>
                    <w:rPr>
                      <w:bCs/>
                      <w:color w:val="000000"/>
                      <w:szCs w:val="22"/>
                    </w:rPr>
                    <w:t>/</w:t>
                  </w:r>
                </w:p>
              </w:tc>
              <w:tc>
                <w:tcPr>
                  <w:tcW w:w="452" w:type="pct"/>
                  <w:vAlign w:val="center"/>
                </w:tcPr>
                <w:p>
                  <w:pPr>
                    <w:tabs>
                      <w:tab w:val="left" w:pos="0"/>
                    </w:tabs>
                    <w:adjustRightInd w:val="0"/>
                    <w:snapToGrid w:val="0"/>
                    <w:jc w:val="center"/>
                    <w:textAlignment w:val="baseline"/>
                    <w:rPr>
                      <w:bCs/>
                      <w:color w:val="000000"/>
                      <w:szCs w:val="22"/>
                    </w:rPr>
                  </w:pPr>
                  <w:r>
                    <w:rPr>
                      <w:bCs/>
                      <w:color w:val="000000"/>
                      <w:szCs w:val="22"/>
                    </w:rPr>
                    <w:t>/</w:t>
                  </w:r>
                </w:p>
              </w:tc>
              <w:tc>
                <w:tcPr>
                  <w:tcW w:w="408" w:type="pct"/>
                  <w:vAlign w:val="center"/>
                </w:tcPr>
                <w:p>
                  <w:pPr>
                    <w:tabs>
                      <w:tab w:val="left" w:pos="0"/>
                    </w:tabs>
                    <w:adjustRightInd w:val="0"/>
                    <w:snapToGrid w:val="0"/>
                    <w:jc w:val="center"/>
                    <w:textAlignment w:val="baseline"/>
                    <w:rPr>
                      <w:bCs/>
                      <w:color w:val="000000"/>
                      <w:szCs w:val="22"/>
                    </w:rPr>
                  </w:pPr>
                  <w:r>
                    <w:rPr>
                      <w:bCs/>
                      <w:color w:val="000000"/>
                      <w:szCs w:val="22"/>
                    </w:rPr>
                    <w:t>/</w:t>
                  </w:r>
                </w:p>
              </w:tc>
              <w:tc>
                <w:tcPr>
                  <w:tcW w:w="546" w:type="pct"/>
                  <w:vAlign w:val="center"/>
                </w:tcPr>
                <w:p>
                  <w:pPr>
                    <w:tabs>
                      <w:tab w:val="left" w:pos="0"/>
                    </w:tabs>
                    <w:adjustRightInd w:val="0"/>
                    <w:snapToGrid w:val="0"/>
                    <w:jc w:val="center"/>
                    <w:textAlignment w:val="baseline"/>
                    <w:rPr>
                      <w:bCs/>
                      <w:color w:val="000000"/>
                      <w:szCs w:val="22"/>
                    </w:rPr>
                  </w:pPr>
                  <w:r>
                    <w:rPr>
                      <w:bCs/>
                      <w:color w:val="000000"/>
                      <w:szCs w:val="22"/>
                    </w:rPr>
                    <w:t>DW001</w:t>
                  </w:r>
                </w:p>
              </w:tc>
              <w:tc>
                <w:tcPr>
                  <w:tcW w:w="509" w:type="pct"/>
                  <w:vAlign w:val="center"/>
                </w:tcPr>
                <w:p>
                  <w:pPr>
                    <w:tabs>
                      <w:tab w:val="left" w:pos="0"/>
                    </w:tabs>
                    <w:adjustRightInd w:val="0"/>
                    <w:snapToGrid w:val="0"/>
                    <w:jc w:val="center"/>
                    <w:textAlignment w:val="baseline"/>
                    <w:rPr>
                      <w:bCs/>
                      <w:color w:val="000000"/>
                      <w:szCs w:val="22"/>
                    </w:rPr>
                  </w:pPr>
                  <w:r>
                    <w:rPr>
                      <w:bCs/>
                      <w:color w:val="000000"/>
                      <w:szCs w:val="22"/>
                    </w:rPr>
                    <w:t>是</w:t>
                  </w:r>
                </w:p>
              </w:tc>
              <w:tc>
                <w:tcPr>
                  <w:tcW w:w="324" w:type="pct"/>
                  <w:vAlign w:val="center"/>
                </w:tcPr>
                <w:p>
                  <w:pPr>
                    <w:tabs>
                      <w:tab w:val="left" w:pos="0"/>
                    </w:tabs>
                    <w:adjustRightInd w:val="0"/>
                    <w:snapToGrid w:val="0"/>
                    <w:jc w:val="center"/>
                    <w:textAlignment w:val="baseline"/>
                    <w:rPr>
                      <w:bCs/>
                      <w:color w:val="000000"/>
                      <w:szCs w:val="22"/>
                    </w:rPr>
                  </w:pPr>
                  <w:r>
                    <w:rPr>
                      <w:bCs/>
                      <w:color w:val="000000"/>
                      <w:szCs w:val="22"/>
                    </w:rPr>
                    <w:t>污水总排口</w:t>
                  </w:r>
                </w:p>
              </w:tc>
            </w:tr>
          </w:tbl>
          <w:p>
            <w:pPr>
              <w:tabs>
                <w:tab w:val="left" w:pos="0"/>
              </w:tabs>
              <w:spacing w:before="60"/>
              <w:jc w:val="center"/>
              <w:rPr>
                <w:b/>
                <w:color w:val="000000"/>
                <w:sz w:val="24"/>
              </w:rPr>
            </w:pPr>
            <w:r>
              <w:rPr>
                <w:b/>
                <w:color w:val="000000"/>
                <w:sz w:val="24"/>
              </w:rPr>
              <w:t>表4-1</w:t>
            </w:r>
            <w:r>
              <w:rPr>
                <w:rFonts w:hint="eastAsia"/>
                <w:b/>
                <w:color w:val="000000"/>
                <w:sz w:val="24"/>
              </w:rPr>
              <w:t>5</w:t>
            </w:r>
            <w:r>
              <w:rPr>
                <w:b/>
                <w:color w:val="000000"/>
                <w:sz w:val="24"/>
              </w:rPr>
              <w:t xml:space="preserve"> 废水间接排放口基本情况表</w:t>
            </w:r>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414"/>
              <w:gridCol w:w="833"/>
              <w:gridCol w:w="1230"/>
              <w:gridCol w:w="1069"/>
              <w:gridCol w:w="673"/>
              <w:gridCol w:w="537"/>
              <w:gridCol w:w="548"/>
              <w:gridCol w:w="1103"/>
              <w:gridCol w:w="523"/>
              <w:gridCol w:w="709"/>
              <w:gridCol w:w="14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64" w:hRule="atLeast"/>
                <w:jc w:val="center"/>
              </w:trPr>
              <w:tc>
                <w:tcPr>
                  <w:tcW w:w="228"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序</w:t>
                  </w:r>
                </w:p>
                <w:p>
                  <w:pPr>
                    <w:tabs>
                      <w:tab w:val="left" w:pos="0"/>
                    </w:tabs>
                    <w:adjustRightInd w:val="0"/>
                    <w:snapToGrid w:val="0"/>
                    <w:jc w:val="center"/>
                    <w:textAlignment w:val="baseline"/>
                    <w:rPr>
                      <w:b/>
                      <w:color w:val="000000"/>
                      <w:spacing w:val="4"/>
                      <w:szCs w:val="22"/>
                    </w:rPr>
                  </w:pPr>
                  <w:r>
                    <w:rPr>
                      <w:b/>
                      <w:color w:val="000000"/>
                      <w:spacing w:val="4"/>
                      <w:szCs w:val="22"/>
                    </w:rPr>
                    <w:t>号</w:t>
                  </w:r>
                </w:p>
              </w:tc>
              <w:tc>
                <w:tcPr>
                  <w:tcW w:w="459"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排放口编号</w:t>
                  </w:r>
                </w:p>
              </w:tc>
              <w:tc>
                <w:tcPr>
                  <w:tcW w:w="1267" w:type="pct"/>
                  <w:gridSpan w:val="2"/>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排放口地理坐标</w:t>
                  </w:r>
                </w:p>
              </w:tc>
              <w:tc>
                <w:tcPr>
                  <w:tcW w:w="371"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废水排放量/（万t/a）</w:t>
                  </w:r>
                </w:p>
              </w:tc>
              <w:tc>
                <w:tcPr>
                  <w:tcW w:w="296"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w:t>
                  </w:r>
                </w:p>
                <w:p>
                  <w:pPr>
                    <w:tabs>
                      <w:tab w:val="left" w:pos="0"/>
                    </w:tabs>
                    <w:adjustRightInd w:val="0"/>
                    <w:snapToGrid w:val="0"/>
                    <w:jc w:val="center"/>
                    <w:textAlignment w:val="baseline"/>
                    <w:rPr>
                      <w:b/>
                      <w:color w:val="000000"/>
                      <w:spacing w:val="4"/>
                      <w:szCs w:val="22"/>
                    </w:rPr>
                  </w:pPr>
                  <w:r>
                    <w:rPr>
                      <w:b/>
                      <w:color w:val="000000"/>
                      <w:spacing w:val="4"/>
                      <w:szCs w:val="22"/>
                    </w:rPr>
                    <w:t>去向</w:t>
                  </w:r>
                </w:p>
              </w:tc>
              <w:tc>
                <w:tcPr>
                  <w:tcW w:w="302"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w:t>
                  </w:r>
                </w:p>
                <w:p>
                  <w:pPr>
                    <w:tabs>
                      <w:tab w:val="left" w:pos="0"/>
                    </w:tabs>
                    <w:adjustRightInd w:val="0"/>
                    <w:snapToGrid w:val="0"/>
                    <w:jc w:val="center"/>
                    <w:textAlignment w:val="baseline"/>
                    <w:rPr>
                      <w:b/>
                      <w:color w:val="000000"/>
                      <w:spacing w:val="4"/>
                      <w:szCs w:val="22"/>
                    </w:rPr>
                  </w:pPr>
                  <w:r>
                    <w:rPr>
                      <w:b/>
                      <w:color w:val="000000"/>
                      <w:spacing w:val="4"/>
                      <w:szCs w:val="22"/>
                    </w:rPr>
                    <w:t>规律</w:t>
                  </w:r>
                </w:p>
              </w:tc>
              <w:tc>
                <w:tcPr>
                  <w:tcW w:w="608"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间歇排放时段</w:t>
                  </w:r>
                </w:p>
              </w:tc>
              <w:tc>
                <w:tcPr>
                  <w:tcW w:w="1465" w:type="pct"/>
                  <w:gridSpan w:val="3"/>
                  <w:vAlign w:val="center"/>
                </w:tcPr>
                <w:p>
                  <w:pPr>
                    <w:tabs>
                      <w:tab w:val="left" w:pos="0"/>
                    </w:tabs>
                    <w:adjustRightInd w:val="0"/>
                    <w:snapToGrid w:val="0"/>
                    <w:jc w:val="center"/>
                    <w:textAlignment w:val="baseline"/>
                    <w:rPr>
                      <w:b/>
                      <w:color w:val="000000"/>
                      <w:spacing w:val="4"/>
                      <w:szCs w:val="22"/>
                    </w:rPr>
                  </w:pPr>
                  <w:r>
                    <w:rPr>
                      <w:b/>
                      <w:color w:val="000000"/>
                      <w:spacing w:val="4"/>
                      <w:szCs w:val="22"/>
                    </w:rPr>
                    <w:t>受纳污水处理厂信息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091" w:hRule="atLeast"/>
                <w:jc w:val="center"/>
              </w:trPr>
              <w:tc>
                <w:tcPr>
                  <w:tcW w:w="228" w:type="pct"/>
                  <w:vMerge w:val="continue"/>
                  <w:vAlign w:val="center"/>
                </w:tcPr>
                <w:p>
                  <w:pPr>
                    <w:tabs>
                      <w:tab w:val="left" w:pos="0"/>
                    </w:tabs>
                    <w:adjustRightInd w:val="0"/>
                    <w:snapToGrid w:val="0"/>
                    <w:jc w:val="center"/>
                    <w:textAlignment w:val="baseline"/>
                    <w:rPr>
                      <w:b/>
                      <w:color w:val="000000"/>
                      <w:spacing w:val="4"/>
                      <w:szCs w:val="22"/>
                    </w:rPr>
                  </w:pPr>
                </w:p>
              </w:tc>
              <w:tc>
                <w:tcPr>
                  <w:tcW w:w="459" w:type="pct"/>
                  <w:vMerge w:val="continue"/>
                  <w:vAlign w:val="center"/>
                </w:tcPr>
                <w:p>
                  <w:pPr>
                    <w:tabs>
                      <w:tab w:val="left" w:pos="0"/>
                    </w:tabs>
                    <w:adjustRightInd w:val="0"/>
                    <w:snapToGrid w:val="0"/>
                    <w:jc w:val="center"/>
                    <w:textAlignment w:val="baseline"/>
                    <w:rPr>
                      <w:b/>
                      <w:color w:val="000000"/>
                      <w:spacing w:val="4"/>
                      <w:szCs w:val="22"/>
                    </w:rPr>
                  </w:pPr>
                </w:p>
              </w:tc>
              <w:tc>
                <w:tcPr>
                  <w:tcW w:w="678"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经度</w:t>
                  </w:r>
                </w:p>
              </w:tc>
              <w:tc>
                <w:tcPr>
                  <w:tcW w:w="589"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纬度</w:t>
                  </w:r>
                </w:p>
              </w:tc>
              <w:tc>
                <w:tcPr>
                  <w:tcW w:w="371" w:type="pct"/>
                  <w:vMerge w:val="continue"/>
                  <w:vAlign w:val="center"/>
                </w:tcPr>
                <w:p>
                  <w:pPr>
                    <w:tabs>
                      <w:tab w:val="left" w:pos="0"/>
                    </w:tabs>
                    <w:adjustRightInd w:val="0"/>
                    <w:snapToGrid w:val="0"/>
                    <w:jc w:val="center"/>
                    <w:textAlignment w:val="baseline"/>
                    <w:rPr>
                      <w:b/>
                      <w:color w:val="000000"/>
                      <w:spacing w:val="4"/>
                      <w:szCs w:val="22"/>
                    </w:rPr>
                  </w:pPr>
                </w:p>
              </w:tc>
              <w:tc>
                <w:tcPr>
                  <w:tcW w:w="296" w:type="pct"/>
                  <w:vMerge w:val="continue"/>
                  <w:vAlign w:val="center"/>
                </w:tcPr>
                <w:p>
                  <w:pPr>
                    <w:tabs>
                      <w:tab w:val="left" w:pos="0"/>
                    </w:tabs>
                    <w:adjustRightInd w:val="0"/>
                    <w:snapToGrid w:val="0"/>
                    <w:jc w:val="center"/>
                    <w:textAlignment w:val="baseline"/>
                    <w:rPr>
                      <w:b/>
                      <w:color w:val="000000"/>
                      <w:spacing w:val="4"/>
                      <w:szCs w:val="22"/>
                    </w:rPr>
                  </w:pPr>
                </w:p>
              </w:tc>
              <w:tc>
                <w:tcPr>
                  <w:tcW w:w="302" w:type="pct"/>
                  <w:vMerge w:val="continue"/>
                  <w:vAlign w:val="center"/>
                </w:tcPr>
                <w:p>
                  <w:pPr>
                    <w:tabs>
                      <w:tab w:val="left" w:pos="0"/>
                    </w:tabs>
                    <w:adjustRightInd w:val="0"/>
                    <w:snapToGrid w:val="0"/>
                    <w:jc w:val="center"/>
                    <w:textAlignment w:val="baseline"/>
                    <w:rPr>
                      <w:b/>
                      <w:color w:val="000000"/>
                      <w:spacing w:val="4"/>
                      <w:szCs w:val="22"/>
                    </w:rPr>
                  </w:pPr>
                </w:p>
              </w:tc>
              <w:tc>
                <w:tcPr>
                  <w:tcW w:w="608" w:type="pct"/>
                  <w:vMerge w:val="continue"/>
                  <w:vAlign w:val="center"/>
                </w:tcPr>
                <w:p>
                  <w:pPr>
                    <w:tabs>
                      <w:tab w:val="left" w:pos="0"/>
                    </w:tabs>
                    <w:adjustRightInd w:val="0"/>
                    <w:snapToGrid w:val="0"/>
                    <w:jc w:val="center"/>
                    <w:textAlignment w:val="baseline"/>
                    <w:rPr>
                      <w:b/>
                      <w:color w:val="000000"/>
                      <w:spacing w:val="4"/>
                      <w:szCs w:val="22"/>
                    </w:rPr>
                  </w:pPr>
                </w:p>
              </w:tc>
              <w:tc>
                <w:tcPr>
                  <w:tcW w:w="288"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名称</w:t>
                  </w:r>
                </w:p>
              </w:tc>
              <w:tc>
                <w:tcPr>
                  <w:tcW w:w="391"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污染物种类</w:t>
                  </w:r>
                </w:p>
              </w:tc>
              <w:tc>
                <w:tcPr>
                  <w:tcW w:w="785"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国家或地方污染物排放标准浓度限值/（mg/L）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02" w:hRule="atLeast"/>
                <w:jc w:val="center"/>
              </w:trPr>
              <w:tc>
                <w:tcPr>
                  <w:tcW w:w="228"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1</w:t>
                  </w:r>
                </w:p>
              </w:tc>
              <w:tc>
                <w:tcPr>
                  <w:tcW w:w="459"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DW001</w:t>
                  </w:r>
                </w:p>
              </w:tc>
              <w:tc>
                <w:tcPr>
                  <w:tcW w:w="678" w:type="pct"/>
                  <w:vMerge w:val="restart"/>
                  <w:vAlign w:val="center"/>
                </w:tcPr>
                <w:p>
                  <w:pPr>
                    <w:widowControl/>
                    <w:jc w:val="center"/>
                    <w:rPr>
                      <w:bCs/>
                      <w:color w:val="000000"/>
                      <w:spacing w:val="4"/>
                      <w:szCs w:val="22"/>
                    </w:rPr>
                  </w:pPr>
                  <w:r>
                    <w:rPr>
                      <w:color w:val="000000"/>
                      <w:spacing w:val="4"/>
                      <w:kern w:val="0"/>
                      <w:szCs w:val="21"/>
                    </w:rPr>
                    <w:t>120.45</w:t>
                  </w:r>
                  <w:r>
                    <w:rPr>
                      <w:rFonts w:hint="eastAsia"/>
                      <w:color w:val="000000"/>
                      <w:spacing w:val="4"/>
                      <w:kern w:val="0"/>
                      <w:szCs w:val="21"/>
                    </w:rPr>
                    <w:t>29°</w:t>
                  </w:r>
                </w:p>
              </w:tc>
              <w:tc>
                <w:tcPr>
                  <w:tcW w:w="589" w:type="pct"/>
                  <w:vMerge w:val="restart"/>
                  <w:vAlign w:val="center"/>
                </w:tcPr>
                <w:p>
                  <w:pPr>
                    <w:jc w:val="center"/>
                    <w:rPr>
                      <w:bCs/>
                      <w:color w:val="000000"/>
                      <w:spacing w:val="4"/>
                      <w:szCs w:val="22"/>
                    </w:rPr>
                  </w:pPr>
                  <w:r>
                    <w:rPr>
                      <w:rFonts w:hint="eastAsia"/>
                      <w:color w:val="000000"/>
                      <w:kern w:val="0"/>
                      <w:szCs w:val="21"/>
                    </w:rPr>
                    <w:t>31.3858°</w:t>
                  </w:r>
                </w:p>
              </w:tc>
              <w:tc>
                <w:tcPr>
                  <w:tcW w:w="371" w:type="pct"/>
                  <w:vMerge w:val="restart"/>
                  <w:vAlign w:val="center"/>
                </w:tcPr>
                <w:p>
                  <w:pPr>
                    <w:tabs>
                      <w:tab w:val="left" w:pos="0"/>
                    </w:tabs>
                    <w:adjustRightInd w:val="0"/>
                    <w:snapToGrid w:val="0"/>
                    <w:jc w:val="center"/>
                    <w:textAlignment w:val="baseline"/>
                    <w:rPr>
                      <w:bCs/>
                      <w:color w:val="000000"/>
                      <w:spacing w:val="4"/>
                      <w:szCs w:val="22"/>
                    </w:rPr>
                  </w:pPr>
                  <w:r>
                    <w:rPr>
                      <w:rFonts w:hint="eastAsia"/>
                      <w:bCs/>
                      <w:color w:val="000000"/>
                      <w:spacing w:val="4"/>
                      <w:szCs w:val="22"/>
                    </w:rPr>
                    <w:t>0.51</w:t>
                  </w:r>
                </w:p>
              </w:tc>
              <w:tc>
                <w:tcPr>
                  <w:tcW w:w="296"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市政污水管网</w:t>
                  </w:r>
                </w:p>
              </w:tc>
              <w:tc>
                <w:tcPr>
                  <w:tcW w:w="302"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间歇式</w:t>
                  </w:r>
                </w:p>
              </w:tc>
              <w:tc>
                <w:tcPr>
                  <w:tcW w:w="608"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 xml:space="preserve">排放期间流量不稳定，且无规律，但不属于冲击型排放  </w:t>
                  </w:r>
                </w:p>
              </w:tc>
              <w:tc>
                <w:tcPr>
                  <w:tcW w:w="288" w:type="pct"/>
                  <w:vMerge w:val="restart"/>
                  <w:vAlign w:val="center"/>
                </w:tcPr>
                <w:p>
                  <w:pPr>
                    <w:tabs>
                      <w:tab w:val="left" w:pos="0"/>
                    </w:tabs>
                    <w:adjustRightInd w:val="0"/>
                    <w:snapToGrid w:val="0"/>
                    <w:jc w:val="center"/>
                    <w:textAlignment w:val="baseline"/>
                    <w:rPr>
                      <w:bCs/>
                      <w:color w:val="000000"/>
                      <w:spacing w:val="4"/>
                      <w:szCs w:val="22"/>
                    </w:rPr>
                  </w:pPr>
                  <w:r>
                    <w:rPr>
                      <w:rFonts w:hint="eastAsia"/>
                      <w:bCs/>
                      <w:color w:val="000000"/>
                      <w:spacing w:val="4"/>
                      <w:szCs w:val="22"/>
                    </w:rPr>
                    <w:t>科技城水质净化厂</w:t>
                  </w:r>
                </w:p>
              </w:tc>
              <w:tc>
                <w:tcPr>
                  <w:tcW w:w="391"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pH</w:t>
                  </w:r>
                </w:p>
              </w:tc>
              <w:tc>
                <w:tcPr>
                  <w:tcW w:w="78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6~9（无量纲）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72" w:hRule="atLeast"/>
                <w:jc w:val="center"/>
              </w:trPr>
              <w:tc>
                <w:tcPr>
                  <w:tcW w:w="228" w:type="pct"/>
                  <w:vMerge w:val="continue"/>
                  <w:vAlign w:val="center"/>
                </w:tcPr>
                <w:p>
                  <w:pPr>
                    <w:tabs>
                      <w:tab w:val="left" w:pos="0"/>
                    </w:tabs>
                    <w:adjustRightInd w:val="0"/>
                    <w:snapToGrid w:val="0"/>
                    <w:jc w:val="center"/>
                    <w:textAlignment w:val="baseline"/>
                    <w:rPr>
                      <w:bCs/>
                      <w:color w:val="000000"/>
                      <w:spacing w:val="4"/>
                      <w:szCs w:val="22"/>
                    </w:rPr>
                  </w:pPr>
                </w:p>
              </w:tc>
              <w:tc>
                <w:tcPr>
                  <w:tcW w:w="459" w:type="pct"/>
                  <w:vMerge w:val="continue"/>
                  <w:vAlign w:val="center"/>
                </w:tcPr>
                <w:p>
                  <w:pPr>
                    <w:tabs>
                      <w:tab w:val="left" w:pos="0"/>
                    </w:tabs>
                    <w:adjustRightInd w:val="0"/>
                    <w:snapToGrid w:val="0"/>
                    <w:jc w:val="center"/>
                    <w:textAlignment w:val="baseline"/>
                    <w:rPr>
                      <w:bCs/>
                      <w:color w:val="000000"/>
                      <w:spacing w:val="4"/>
                      <w:szCs w:val="22"/>
                    </w:rPr>
                  </w:pPr>
                </w:p>
              </w:tc>
              <w:tc>
                <w:tcPr>
                  <w:tcW w:w="678" w:type="pct"/>
                  <w:vMerge w:val="continue"/>
                  <w:vAlign w:val="center"/>
                </w:tcPr>
                <w:p>
                  <w:pPr>
                    <w:tabs>
                      <w:tab w:val="left" w:pos="0"/>
                    </w:tabs>
                    <w:adjustRightInd w:val="0"/>
                    <w:snapToGrid w:val="0"/>
                    <w:jc w:val="center"/>
                    <w:textAlignment w:val="baseline"/>
                    <w:rPr>
                      <w:bCs/>
                      <w:color w:val="000000"/>
                      <w:spacing w:val="4"/>
                      <w:szCs w:val="22"/>
                    </w:rPr>
                  </w:pPr>
                </w:p>
              </w:tc>
              <w:tc>
                <w:tcPr>
                  <w:tcW w:w="589" w:type="pct"/>
                  <w:vMerge w:val="continue"/>
                  <w:vAlign w:val="center"/>
                </w:tcPr>
                <w:p>
                  <w:pPr>
                    <w:tabs>
                      <w:tab w:val="left" w:pos="0"/>
                    </w:tabs>
                    <w:adjustRightInd w:val="0"/>
                    <w:snapToGrid w:val="0"/>
                    <w:jc w:val="center"/>
                    <w:textAlignment w:val="baseline"/>
                    <w:rPr>
                      <w:bCs/>
                      <w:color w:val="000000"/>
                      <w:spacing w:val="4"/>
                      <w:szCs w:val="22"/>
                    </w:rPr>
                  </w:pPr>
                </w:p>
              </w:tc>
              <w:tc>
                <w:tcPr>
                  <w:tcW w:w="371" w:type="pct"/>
                  <w:vMerge w:val="continue"/>
                  <w:vAlign w:val="center"/>
                </w:tcPr>
                <w:p>
                  <w:pPr>
                    <w:tabs>
                      <w:tab w:val="left" w:pos="0"/>
                    </w:tabs>
                    <w:adjustRightInd w:val="0"/>
                    <w:snapToGrid w:val="0"/>
                    <w:jc w:val="center"/>
                    <w:textAlignment w:val="baseline"/>
                    <w:rPr>
                      <w:bCs/>
                      <w:color w:val="000000"/>
                      <w:spacing w:val="4"/>
                      <w:szCs w:val="22"/>
                    </w:rPr>
                  </w:pPr>
                </w:p>
              </w:tc>
              <w:tc>
                <w:tcPr>
                  <w:tcW w:w="296" w:type="pct"/>
                  <w:vMerge w:val="continue"/>
                  <w:vAlign w:val="center"/>
                </w:tcPr>
                <w:p>
                  <w:pPr>
                    <w:tabs>
                      <w:tab w:val="left" w:pos="0"/>
                    </w:tabs>
                    <w:adjustRightInd w:val="0"/>
                    <w:snapToGrid w:val="0"/>
                    <w:jc w:val="center"/>
                    <w:textAlignment w:val="baseline"/>
                    <w:rPr>
                      <w:bCs/>
                      <w:color w:val="000000"/>
                      <w:spacing w:val="4"/>
                      <w:szCs w:val="22"/>
                    </w:rPr>
                  </w:pPr>
                </w:p>
              </w:tc>
              <w:tc>
                <w:tcPr>
                  <w:tcW w:w="302" w:type="pct"/>
                  <w:vMerge w:val="continue"/>
                  <w:vAlign w:val="center"/>
                </w:tcPr>
                <w:p>
                  <w:pPr>
                    <w:tabs>
                      <w:tab w:val="left" w:pos="0"/>
                    </w:tabs>
                    <w:adjustRightInd w:val="0"/>
                    <w:snapToGrid w:val="0"/>
                    <w:jc w:val="center"/>
                    <w:textAlignment w:val="baseline"/>
                    <w:rPr>
                      <w:bCs/>
                      <w:color w:val="000000"/>
                      <w:spacing w:val="4"/>
                      <w:szCs w:val="22"/>
                    </w:rPr>
                  </w:pPr>
                </w:p>
              </w:tc>
              <w:tc>
                <w:tcPr>
                  <w:tcW w:w="608" w:type="pct"/>
                  <w:vMerge w:val="continue"/>
                  <w:vAlign w:val="center"/>
                </w:tcPr>
                <w:p>
                  <w:pPr>
                    <w:tabs>
                      <w:tab w:val="left" w:pos="0"/>
                    </w:tabs>
                    <w:adjustRightInd w:val="0"/>
                    <w:snapToGrid w:val="0"/>
                    <w:jc w:val="center"/>
                    <w:textAlignment w:val="baseline"/>
                    <w:rPr>
                      <w:bCs/>
                      <w:color w:val="000000"/>
                      <w:spacing w:val="4"/>
                      <w:szCs w:val="22"/>
                    </w:rPr>
                  </w:pPr>
                </w:p>
              </w:tc>
              <w:tc>
                <w:tcPr>
                  <w:tcW w:w="288" w:type="pct"/>
                  <w:vMerge w:val="continue"/>
                  <w:vAlign w:val="center"/>
                </w:tcPr>
                <w:p>
                  <w:pPr>
                    <w:tabs>
                      <w:tab w:val="left" w:pos="0"/>
                    </w:tabs>
                    <w:adjustRightInd w:val="0"/>
                    <w:snapToGrid w:val="0"/>
                    <w:jc w:val="center"/>
                    <w:textAlignment w:val="baseline"/>
                    <w:rPr>
                      <w:bCs/>
                      <w:color w:val="000000"/>
                      <w:spacing w:val="4"/>
                      <w:szCs w:val="22"/>
                    </w:rPr>
                  </w:pPr>
                </w:p>
              </w:tc>
              <w:tc>
                <w:tcPr>
                  <w:tcW w:w="391"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COD</w:t>
                  </w:r>
                </w:p>
              </w:tc>
              <w:tc>
                <w:tcPr>
                  <w:tcW w:w="78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72" w:hRule="atLeast"/>
                <w:jc w:val="center"/>
              </w:trPr>
              <w:tc>
                <w:tcPr>
                  <w:tcW w:w="228" w:type="pct"/>
                  <w:vMerge w:val="continue"/>
                  <w:vAlign w:val="center"/>
                </w:tcPr>
                <w:p>
                  <w:pPr>
                    <w:tabs>
                      <w:tab w:val="left" w:pos="0"/>
                    </w:tabs>
                    <w:adjustRightInd w:val="0"/>
                    <w:snapToGrid w:val="0"/>
                    <w:jc w:val="center"/>
                    <w:textAlignment w:val="baseline"/>
                    <w:rPr>
                      <w:bCs/>
                      <w:color w:val="000000"/>
                      <w:spacing w:val="4"/>
                      <w:szCs w:val="22"/>
                    </w:rPr>
                  </w:pPr>
                </w:p>
              </w:tc>
              <w:tc>
                <w:tcPr>
                  <w:tcW w:w="459" w:type="pct"/>
                  <w:vMerge w:val="continue"/>
                  <w:vAlign w:val="center"/>
                </w:tcPr>
                <w:p>
                  <w:pPr>
                    <w:tabs>
                      <w:tab w:val="left" w:pos="0"/>
                    </w:tabs>
                    <w:adjustRightInd w:val="0"/>
                    <w:snapToGrid w:val="0"/>
                    <w:jc w:val="center"/>
                    <w:textAlignment w:val="baseline"/>
                    <w:rPr>
                      <w:bCs/>
                      <w:color w:val="000000"/>
                      <w:spacing w:val="4"/>
                      <w:szCs w:val="22"/>
                    </w:rPr>
                  </w:pPr>
                </w:p>
              </w:tc>
              <w:tc>
                <w:tcPr>
                  <w:tcW w:w="678" w:type="pct"/>
                  <w:vMerge w:val="continue"/>
                  <w:vAlign w:val="center"/>
                </w:tcPr>
                <w:p>
                  <w:pPr>
                    <w:tabs>
                      <w:tab w:val="left" w:pos="0"/>
                    </w:tabs>
                    <w:adjustRightInd w:val="0"/>
                    <w:snapToGrid w:val="0"/>
                    <w:jc w:val="center"/>
                    <w:textAlignment w:val="baseline"/>
                    <w:rPr>
                      <w:bCs/>
                      <w:color w:val="000000"/>
                      <w:spacing w:val="4"/>
                      <w:szCs w:val="22"/>
                    </w:rPr>
                  </w:pPr>
                </w:p>
              </w:tc>
              <w:tc>
                <w:tcPr>
                  <w:tcW w:w="589" w:type="pct"/>
                  <w:vMerge w:val="continue"/>
                  <w:vAlign w:val="center"/>
                </w:tcPr>
                <w:p>
                  <w:pPr>
                    <w:tabs>
                      <w:tab w:val="left" w:pos="0"/>
                    </w:tabs>
                    <w:adjustRightInd w:val="0"/>
                    <w:snapToGrid w:val="0"/>
                    <w:jc w:val="center"/>
                    <w:textAlignment w:val="baseline"/>
                    <w:rPr>
                      <w:bCs/>
                      <w:color w:val="000000"/>
                      <w:spacing w:val="4"/>
                      <w:szCs w:val="22"/>
                    </w:rPr>
                  </w:pPr>
                </w:p>
              </w:tc>
              <w:tc>
                <w:tcPr>
                  <w:tcW w:w="371" w:type="pct"/>
                  <w:vMerge w:val="continue"/>
                  <w:vAlign w:val="center"/>
                </w:tcPr>
                <w:p>
                  <w:pPr>
                    <w:tabs>
                      <w:tab w:val="left" w:pos="0"/>
                    </w:tabs>
                    <w:adjustRightInd w:val="0"/>
                    <w:snapToGrid w:val="0"/>
                    <w:jc w:val="center"/>
                    <w:textAlignment w:val="baseline"/>
                    <w:rPr>
                      <w:bCs/>
                      <w:color w:val="000000"/>
                      <w:spacing w:val="4"/>
                      <w:szCs w:val="22"/>
                    </w:rPr>
                  </w:pPr>
                </w:p>
              </w:tc>
              <w:tc>
                <w:tcPr>
                  <w:tcW w:w="296" w:type="pct"/>
                  <w:vMerge w:val="continue"/>
                  <w:vAlign w:val="center"/>
                </w:tcPr>
                <w:p>
                  <w:pPr>
                    <w:tabs>
                      <w:tab w:val="left" w:pos="0"/>
                    </w:tabs>
                    <w:adjustRightInd w:val="0"/>
                    <w:snapToGrid w:val="0"/>
                    <w:jc w:val="center"/>
                    <w:textAlignment w:val="baseline"/>
                    <w:rPr>
                      <w:bCs/>
                      <w:color w:val="000000"/>
                      <w:spacing w:val="4"/>
                      <w:szCs w:val="22"/>
                    </w:rPr>
                  </w:pPr>
                </w:p>
              </w:tc>
              <w:tc>
                <w:tcPr>
                  <w:tcW w:w="302" w:type="pct"/>
                  <w:vMerge w:val="continue"/>
                  <w:vAlign w:val="center"/>
                </w:tcPr>
                <w:p>
                  <w:pPr>
                    <w:tabs>
                      <w:tab w:val="left" w:pos="0"/>
                    </w:tabs>
                    <w:adjustRightInd w:val="0"/>
                    <w:snapToGrid w:val="0"/>
                    <w:jc w:val="center"/>
                    <w:textAlignment w:val="baseline"/>
                    <w:rPr>
                      <w:bCs/>
                      <w:color w:val="000000"/>
                      <w:spacing w:val="4"/>
                      <w:szCs w:val="22"/>
                    </w:rPr>
                  </w:pPr>
                </w:p>
              </w:tc>
              <w:tc>
                <w:tcPr>
                  <w:tcW w:w="608" w:type="pct"/>
                  <w:vMerge w:val="continue"/>
                  <w:vAlign w:val="center"/>
                </w:tcPr>
                <w:p>
                  <w:pPr>
                    <w:tabs>
                      <w:tab w:val="left" w:pos="0"/>
                    </w:tabs>
                    <w:adjustRightInd w:val="0"/>
                    <w:snapToGrid w:val="0"/>
                    <w:jc w:val="center"/>
                    <w:textAlignment w:val="baseline"/>
                    <w:rPr>
                      <w:bCs/>
                      <w:color w:val="000000"/>
                      <w:spacing w:val="4"/>
                      <w:szCs w:val="22"/>
                    </w:rPr>
                  </w:pPr>
                </w:p>
              </w:tc>
              <w:tc>
                <w:tcPr>
                  <w:tcW w:w="288" w:type="pct"/>
                  <w:vMerge w:val="continue"/>
                  <w:vAlign w:val="center"/>
                </w:tcPr>
                <w:p>
                  <w:pPr>
                    <w:tabs>
                      <w:tab w:val="left" w:pos="0"/>
                    </w:tabs>
                    <w:adjustRightInd w:val="0"/>
                    <w:snapToGrid w:val="0"/>
                    <w:jc w:val="center"/>
                    <w:textAlignment w:val="baseline"/>
                    <w:rPr>
                      <w:bCs/>
                      <w:color w:val="000000"/>
                      <w:spacing w:val="4"/>
                      <w:szCs w:val="22"/>
                    </w:rPr>
                  </w:pPr>
                </w:p>
              </w:tc>
              <w:tc>
                <w:tcPr>
                  <w:tcW w:w="391"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SS</w:t>
                  </w:r>
                </w:p>
              </w:tc>
              <w:tc>
                <w:tcPr>
                  <w:tcW w:w="78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77" w:hRule="atLeast"/>
                <w:jc w:val="center"/>
              </w:trPr>
              <w:tc>
                <w:tcPr>
                  <w:tcW w:w="228" w:type="pct"/>
                  <w:vMerge w:val="continue"/>
                  <w:vAlign w:val="center"/>
                </w:tcPr>
                <w:p>
                  <w:pPr>
                    <w:tabs>
                      <w:tab w:val="left" w:pos="0"/>
                    </w:tabs>
                    <w:adjustRightInd w:val="0"/>
                    <w:snapToGrid w:val="0"/>
                    <w:jc w:val="center"/>
                    <w:textAlignment w:val="baseline"/>
                    <w:rPr>
                      <w:bCs/>
                      <w:color w:val="000000"/>
                      <w:spacing w:val="4"/>
                      <w:szCs w:val="22"/>
                    </w:rPr>
                  </w:pPr>
                </w:p>
              </w:tc>
              <w:tc>
                <w:tcPr>
                  <w:tcW w:w="459" w:type="pct"/>
                  <w:vMerge w:val="continue"/>
                  <w:vAlign w:val="center"/>
                </w:tcPr>
                <w:p>
                  <w:pPr>
                    <w:tabs>
                      <w:tab w:val="left" w:pos="0"/>
                    </w:tabs>
                    <w:adjustRightInd w:val="0"/>
                    <w:snapToGrid w:val="0"/>
                    <w:jc w:val="center"/>
                    <w:textAlignment w:val="baseline"/>
                    <w:rPr>
                      <w:bCs/>
                      <w:color w:val="000000"/>
                      <w:spacing w:val="4"/>
                      <w:szCs w:val="22"/>
                    </w:rPr>
                  </w:pPr>
                </w:p>
              </w:tc>
              <w:tc>
                <w:tcPr>
                  <w:tcW w:w="678" w:type="pct"/>
                  <w:vMerge w:val="continue"/>
                  <w:vAlign w:val="center"/>
                </w:tcPr>
                <w:p>
                  <w:pPr>
                    <w:tabs>
                      <w:tab w:val="left" w:pos="0"/>
                    </w:tabs>
                    <w:adjustRightInd w:val="0"/>
                    <w:snapToGrid w:val="0"/>
                    <w:jc w:val="center"/>
                    <w:textAlignment w:val="baseline"/>
                    <w:rPr>
                      <w:bCs/>
                      <w:color w:val="000000"/>
                      <w:spacing w:val="4"/>
                      <w:szCs w:val="22"/>
                    </w:rPr>
                  </w:pPr>
                </w:p>
              </w:tc>
              <w:tc>
                <w:tcPr>
                  <w:tcW w:w="589" w:type="pct"/>
                  <w:vMerge w:val="continue"/>
                  <w:vAlign w:val="center"/>
                </w:tcPr>
                <w:p>
                  <w:pPr>
                    <w:tabs>
                      <w:tab w:val="left" w:pos="0"/>
                    </w:tabs>
                    <w:adjustRightInd w:val="0"/>
                    <w:snapToGrid w:val="0"/>
                    <w:jc w:val="center"/>
                    <w:textAlignment w:val="baseline"/>
                    <w:rPr>
                      <w:bCs/>
                      <w:color w:val="000000"/>
                      <w:spacing w:val="4"/>
                      <w:szCs w:val="22"/>
                    </w:rPr>
                  </w:pPr>
                </w:p>
              </w:tc>
              <w:tc>
                <w:tcPr>
                  <w:tcW w:w="371" w:type="pct"/>
                  <w:vMerge w:val="continue"/>
                  <w:vAlign w:val="center"/>
                </w:tcPr>
                <w:p>
                  <w:pPr>
                    <w:tabs>
                      <w:tab w:val="left" w:pos="0"/>
                    </w:tabs>
                    <w:adjustRightInd w:val="0"/>
                    <w:snapToGrid w:val="0"/>
                    <w:jc w:val="center"/>
                    <w:textAlignment w:val="baseline"/>
                    <w:rPr>
                      <w:bCs/>
                      <w:color w:val="000000"/>
                      <w:spacing w:val="4"/>
                      <w:szCs w:val="22"/>
                    </w:rPr>
                  </w:pPr>
                </w:p>
              </w:tc>
              <w:tc>
                <w:tcPr>
                  <w:tcW w:w="296" w:type="pct"/>
                  <w:vMerge w:val="continue"/>
                  <w:vAlign w:val="center"/>
                </w:tcPr>
                <w:p>
                  <w:pPr>
                    <w:tabs>
                      <w:tab w:val="left" w:pos="0"/>
                    </w:tabs>
                    <w:adjustRightInd w:val="0"/>
                    <w:snapToGrid w:val="0"/>
                    <w:jc w:val="center"/>
                    <w:textAlignment w:val="baseline"/>
                    <w:rPr>
                      <w:bCs/>
                      <w:color w:val="000000"/>
                      <w:spacing w:val="4"/>
                      <w:szCs w:val="22"/>
                    </w:rPr>
                  </w:pPr>
                </w:p>
              </w:tc>
              <w:tc>
                <w:tcPr>
                  <w:tcW w:w="302" w:type="pct"/>
                  <w:vMerge w:val="continue"/>
                  <w:vAlign w:val="center"/>
                </w:tcPr>
                <w:p>
                  <w:pPr>
                    <w:tabs>
                      <w:tab w:val="left" w:pos="0"/>
                    </w:tabs>
                    <w:adjustRightInd w:val="0"/>
                    <w:snapToGrid w:val="0"/>
                    <w:jc w:val="center"/>
                    <w:textAlignment w:val="baseline"/>
                    <w:rPr>
                      <w:bCs/>
                      <w:color w:val="000000"/>
                      <w:spacing w:val="4"/>
                      <w:szCs w:val="22"/>
                    </w:rPr>
                  </w:pPr>
                </w:p>
              </w:tc>
              <w:tc>
                <w:tcPr>
                  <w:tcW w:w="608" w:type="pct"/>
                  <w:vMerge w:val="continue"/>
                  <w:vAlign w:val="center"/>
                </w:tcPr>
                <w:p>
                  <w:pPr>
                    <w:tabs>
                      <w:tab w:val="left" w:pos="0"/>
                    </w:tabs>
                    <w:adjustRightInd w:val="0"/>
                    <w:snapToGrid w:val="0"/>
                    <w:jc w:val="center"/>
                    <w:textAlignment w:val="baseline"/>
                    <w:rPr>
                      <w:bCs/>
                      <w:color w:val="000000"/>
                      <w:spacing w:val="4"/>
                      <w:szCs w:val="22"/>
                    </w:rPr>
                  </w:pPr>
                </w:p>
              </w:tc>
              <w:tc>
                <w:tcPr>
                  <w:tcW w:w="288" w:type="pct"/>
                  <w:vMerge w:val="continue"/>
                  <w:vAlign w:val="center"/>
                </w:tcPr>
                <w:p>
                  <w:pPr>
                    <w:tabs>
                      <w:tab w:val="left" w:pos="0"/>
                    </w:tabs>
                    <w:adjustRightInd w:val="0"/>
                    <w:snapToGrid w:val="0"/>
                    <w:jc w:val="center"/>
                    <w:textAlignment w:val="baseline"/>
                    <w:rPr>
                      <w:bCs/>
                      <w:color w:val="000000"/>
                      <w:spacing w:val="4"/>
                      <w:szCs w:val="22"/>
                    </w:rPr>
                  </w:pPr>
                </w:p>
              </w:tc>
              <w:tc>
                <w:tcPr>
                  <w:tcW w:w="391"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氨氮</w:t>
                  </w:r>
                </w:p>
              </w:tc>
              <w:tc>
                <w:tcPr>
                  <w:tcW w:w="78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1.5（3）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1" w:hRule="atLeast"/>
                <w:jc w:val="center"/>
              </w:trPr>
              <w:tc>
                <w:tcPr>
                  <w:tcW w:w="228" w:type="pct"/>
                  <w:vMerge w:val="continue"/>
                  <w:vAlign w:val="center"/>
                </w:tcPr>
                <w:p>
                  <w:pPr>
                    <w:tabs>
                      <w:tab w:val="left" w:pos="0"/>
                    </w:tabs>
                    <w:adjustRightInd w:val="0"/>
                    <w:snapToGrid w:val="0"/>
                    <w:jc w:val="center"/>
                    <w:textAlignment w:val="baseline"/>
                    <w:rPr>
                      <w:bCs/>
                      <w:color w:val="000000"/>
                      <w:spacing w:val="4"/>
                      <w:szCs w:val="22"/>
                    </w:rPr>
                  </w:pPr>
                </w:p>
              </w:tc>
              <w:tc>
                <w:tcPr>
                  <w:tcW w:w="459" w:type="pct"/>
                  <w:vMerge w:val="continue"/>
                  <w:vAlign w:val="center"/>
                </w:tcPr>
                <w:p>
                  <w:pPr>
                    <w:tabs>
                      <w:tab w:val="left" w:pos="0"/>
                    </w:tabs>
                    <w:adjustRightInd w:val="0"/>
                    <w:snapToGrid w:val="0"/>
                    <w:jc w:val="center"/>
                    <w:textAlignment w:val="baseline"/>
                    <w:rPr>
                      <w:bCs/>
                      <w:color w:val="000000"/>
                      <w:spacing w:val="4"/>
                      <w:szCs w:val="22"/>
                    </w:rPr>
                  </w:pPr>
                </w:p>
              </w:tc>
              <w:tc>
                <w:tcPr>
                  <w:tcW w:w="678" w:type="pct"/>
                  <w:vMerge w:val="continue"/>
                  <w:vAlign w:val="center"/>
                </w:tcPr>
                <w:p>
                  <w:pPr>
                    <w:tabs>
                      <w:tab w:val="left" w:pos="0"/>
                    </w:tabs>
                    <w:adjustRightInd w:val="0"/>
                    <w:snapToGrid w:val="0"/>
                    <w:jc w:val="center"/>
                    <w:textAlignment w:val="baseline"/>
                    <w:rPr>
                      <w:bCs/>
                      <w:color w:val="000000"/>
                      <w:spacing w:val="4"/>
                      <w:szCs w:val="22"/>
                    </w:rPr>
                  </w:pPr>
                </w:p>
              </w:tc>
              <w:tc>
                <w:tcPr>
                  <w:tcW w:w="589" w:type="pct"/>
                  <w:vMerge w:val="continue"/>
                  <w:vAlign w:val="center"/>
                </w:tcPr>
                <w:p>
                  <w:pPr>
                    <w:tabs>
                      <w:tab w:val="left" w:pos="0"/>
                    </w:tabs>
                    <w:adjustRightInd w:val="0"/>
                    <w:snapToGrid w:val="0"/>
                    <w:jc w:val="center"/>
                    <w:textAlignment w:val="baseline"/>
                    <w:rPr>
                      <w:bCs/>
                      <w:color w:val="000000"/>
                      <w:spacing w:val="4"/>
                      <w:szCs w:val="22"/>
                    </w:rPr>
                  </w:pPr>
                </w:p>
              </w:tc>
              <w:tc>
                <w:tcPr>
                  <w:tcW w:w="371" w:type="pct"/>
                  <w:vMerge w:val="continue"/>
                  <w:vAlign w:val="center"/>
                </w:tcPr>
                <w:p>
                  <w:pPr>
                    <w:tabs>
                      <w:tab w:val="left" w:pos="0"/>
                    </w:tabs>
                    <w:adjustRightInd w:val="0"/>
                    <w:snapToGrid w:val="0"/>
                    <w:jc w:val="center"/>
                    <w:textAlignment w:val="baseline"/>
                    <w:rPr>
                      <w:bCs/>
                      <w:color w:val="000000"/>
                      <w:spacing w:val="4"/>
                      <w:szCs w:val="22"/>
                    </w:rPr>
                  </w:pPr>
                </w:p>
              </w:tc>
              <w:tc>
                <w:tcPr>
                  <w:tcW w:w="296" w:type="pct"/>
                  <w:vMerge w:val="continue"/>
                  <w:vAlign w:val="center"/>
                </w:tcPr>
                <w:p>
                  <w:pPr>
                    <w:tabs>
                      <w:tab w:val="left" w:pos="0"/>
                    </w:tabs>
                    <w:adjustRightInd w:val="0"/>
                    <w:snapToGrid w:val="0"/>
                    <w:jc w:val="center"/>
                    <w:textAlignment w:val="baseline"/>
                    <w:rPr>
                      <w:bCs/>
                      <w:color w:val="000000"/>
                      <w:spacing w:val="4"/>
                      <w:szCs w:val="22"/>
                    </w:rPr>
                  </w:pPr>
                </w:p>
              </w:tc>
              <w:tc>
                <w:tcPr>
                  <w:tcW w:w="302" w:type="pct"/>
                  <w:vMerge w:val="continue"/>
                  <w:vAlign w:val="center"/>
                </w:tcPr>
                <w:p>
                  <w:pPr>
                    <w:tabs>
                      <w:tab w:val="left" w:pos="0"/>
                    </w:tabs>
                    <w:adjustRightInd w:val="0"/>
                    <w:snapToGrid w:val="0"/>
                    <w:jc w:val="center"/>
                    <w:textAlignment w:val="baseline"/>
                    <w:rPr>
                      <w:bCs/>
                      <w:color w:val="000000"/>
                      <w:spacing w:val="4"/>
                      <w:szCs w:val="22"/>
                    </w:rPr>
                  </w:pPr>
                </w:p>
              </w:tc>
              <w:tc>
                <w:tcPr>
                  <w:tcW w:w="608" w:type="pct"/>
                  <w:vMerge w:val="continue"/>
                  <w:vAlign w:val="center"/>
                </w:tcPr>
                <w:p>
                  <w:pPr>
                    <w:tabs>
                      <w:tab w:val="left" w:pos="0"/>
                    </w:tabs>
                    <w:adjustRightInd w:val="0"/>
                    <w:snapToGrid w:val="0"/>
                    <w:jc w:val="center"/>
                    <w:textAlignment w:val="baseline"/>
                    <w:rPr>
                      <w:bCs/>
                      <w:color w:val="000000"/>
                      <w:spacing w:val="4"/>
                      <w:szCs w:val="22"/>
                    </w:rPr>
                  </w:pPr>
                </w:p>
              </w:tc>
              <w:tc>
                <w:tcPr>
                  <w:tcW w:w="288" w:type="pct"/>
                  <w:vMerge w:val="continue"/>
                  <w:vAlign w:val="center"/>
                </w:tcPr>
                <w:p>
                  <w:pPr>
                    <w:tabs>
                      <w:tab w:val="left" w:pos="0"/>
                    </w:tabs>
                    <w:adjustRightInd w:val="0"/>
                    <w:snapToGrid w:val="0"/>
                    <w:jc w:val="center"/>
                    <w:textAlignment w:val="baseline"/>
                    <w:rPr>
                      <w:bCs/>
                      <w:color w:val="000000"/>
                      <w:spacing w:val="4"/>
                      <w:szCs w:val="22"/>
                    </w:rPr>
                  </w:pPr>
                </w:p>
              </w:tc>
              <w:tc>
                <w:tcPr>
                  <w:tcW w:w="391"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总磷</w:t>
                  </w:r>
                </w:p>
              </w:tc>
              <w:tc>
                <w:tcPr>
                  <w:tcW w:w="78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1" w:hRule="atLeast"/>
                <w:jc w:val="center"/>
              </w:trPr>
              <w:tc>
                <w:tcPr>
                  <w:tcW w:w="228" w:type="pct"/>
                  <w:vMerge w:val="continue"/>
                  <w:vAlign w:val="center"/>
                </w:tcPr>
                <w:p>
                  <w:pPr>
                    <w:tabs>
                      <w:tab w:val="left" w:pos="0"/>
                    </w:tabs>
                    <w:adjustRightInd w:val="0"/>
                    <w:snapToGrid w:val="0"/>
                    <w:jc w:val="center"/>
                    <w:textAlignment w:val="baseline"/>
                    <w:rPr>
                      <w:bCs/>
                      <w:color w:val="000000"/>
                      <w:spacing w:val="4"/>
                      <w:szCs w:val="22"/>
                    </w:rPr>
                  </w:pPr>
                </w:p>
              </w:tc>
              <w:tc>
                <w:tcPr>
                  <w:tcW w:w="459" w:type="pct"/>
                  <w:vMerge w:val="continue"/>
                  <w:vAlign w:val="center"/>
                </w:tcPr>
                <w:p>
                  <w:pPr>
                    <w:tabs>
                      <w:tab w:val="left" w:pos="0"/>
                    </w:tabs>
                    <w:adjustRightInd w:val="0"/>
                    <w:snapToGrid w:val="0"/>
                    <w:jc w:val="center"/>
                    <w:textAlignment w:val="baseline"/>
                    <w:rPr>
                      <w:bCs/>
                      <w:color w:val="000000"/>
                      <w:spacing w:val="4"/>
                      <w:szCs w:val="22"/>
                    </w:rPr>
                  </w:pPr>
                </w:p>
              </w:tc>
              <w:tc>
                <w:tcPr>
                  <w:tcW w:w="678" w:type="pct"/>
                  <w:vMerge w:val="continue"/>
                  <w:vAlign w:val="center"/>
                </w:tcPr>
                <w:p>
                  <w:pPr>
                    <w:tabs>
                      <w:tab w:val="left" w:pos="0"/>
                    </w:tabs>
                    <w:adjustRightInd w:val="0"/>
                    <w:snapToGrid w:val="0"/>
                    <w:jc w:val="center"/>
                    <w:textAlignment w:val="baseline"/>
                    <w:rPr>
                      <w:bCs/>
                      <w:color w:val="000000"/>
                      <w:spacing w:val="4"/>
                      <w:szCs w:val="22"/>
                    </w:rPr>
                  </w:pPr>
                </w:p>
              </w:tc>
              <w:tc>
                <w:tcPr>
                  <w:tcW w:w="589" w:type="pct"/>
                  <w:vMerge w:val="continue"/>
                  <w:vAlign w:val="center"/>
                </w:tcPr>
                <w:p>
                  <w:pPr>
                    <w:tabs>
                      <w:tab w:val="left" w:pos="0"/>
                    </w:tabs>
                    <w:adjustRightInd w:val="0"/>
                    <w:snapToGrid w:val="0"/>
                    <w:jc w:val="center"/>
                    <w:textAlignment w:val="baseline"/>
                    <w:rPr>
                      <w:bCs/>
                      <w:color w:val="000000"/>
                      <w:spacing w:val="4"/>
                      <w:szCs w:val="22"/>
                    </w:rPr>
                  </w:pPr>
                </w:p>
              </w:tc>
              <w:tc>
                <w:tcPr>
                  <w:tcW w:w="371" w:type="pct"/>
                  <w:vMerge w:val="continue"/>
                  <w:vAlign w:val="center"/>
                </w:tcPr>
                <w:p>
                  <w:pPr>
                    <w:tabs>
                      <w:tab w:val="left" w:pos="0"/>
                    </w:tabs>
                    <w:adjustRightInd w:val="0"/>
                    <w:snapToGrid w:val="0"/>
                    <w:jc w:val="center"/>
                    <w:textAlignment w:val="baseline"/>
                    <w:rPr>
                      <w:bCs/>
                      <w:color w:val="000000"/>
                      <w:spacing w:val="4"/>
                      <w:szCs w:val="22"/>
                    </w:rPr>
                  </w:pPr>
                </w:p>
              </w:tc>
              <w:tc>
                <w:tcPr>
                  <w:tcW w:w="296" w:type="pct"/>
                  <w:vMerge w:val="continue"/>
                  <w:vAlign w:val="center"/>
                </w:tcPr>
                <w:p>
                  <w:pPr>
                    <w:tabs>
                      <w:tab w:val="left" w:pos="0"/>
                    </w:tabs>
                    <w:adjustRightInd w:val="0"/>
                    <w:snapToGrid w:val="0"/>
                    <w:jc w:val="center"/>
                    <w:textAlignment w:val="baseline"/>
                    <w:rPr>
                      <w:bCs/>
                      <w:color w:val="000000"/>
                      <w:spacing w:val="4"/>
                      <w:szCs w:val="22"/>
                    </w:rPr>
                  </w:pPr>
                </w:p>
              </w:tc>
              <w:tc>
                <w:tcPr>
                  <w:tcW w:w="302" w:type="pct"/>
                  <w:vMerge w:val="continue"/>
                  <w:vAlign w:val="center"/>
                </w:tcPr>
                <w:p>
                  <w:pPr>
                    <w:tabs>
                      <w:tab w:val="left" w:pos="0"/>
                    </w:tabs>
                    <w:adjustRightInd w:val="0"/>
                    <w:snapToGrid w:val="0"/>
                    <w:jc w:val="center"/>
                    <w:textAlignment w:val="baseline"/>
                    <w:rPr>
                      <w:bCs/>
                      <w:color w:val="000000"/>
                      <w:spacing w:val="4"/>
                      <w:szCs w:val="22"/>
                    </w:rPr>
                  </w:pPr>
                </w:p>
              </w:tc>
              <w:tc>
                <w:tcPr>
                  <w:tcW w:w="608" w:type="pct"/>
                  <w:vMerge w:val="continue"/>
                  <w:vAlign w:val="center"/>
                </w:tcPr>
                <w:p>
                  <w:pPr>
                    <w:tabs>
                      <w:tab w:val="left" w:pos="0"/>
                    </w:tabs>
                    <w:adjustRightInd w:val="0"/>
                    <w:snapToGrid w:val="0"/>
                    <w:jc w:val="center"/>
                    <w:textAlignment w:val="baseline"/>
                    <w:rPr>
                      <w:bCs/>
                      <w:color w:val="000000"/>
                      <w:spacing w:val="4"/>
                      <w:szCs w:val="22"/>
                    </w:rPr>
                  </w:pPr>
                </w:p>
              </w:tc>
              <w:tc>
                <w:tcPr>
                  <w:tcW w:w="288" w:type="pct"/>
                  <w:vMerge w:val="continue"/>
                  <w:vAlign w:val="center"/>
                </w:tcPr>
                <w:p>
                  <w:pPr>
                    <w:tabs>
                      <w:tab w:val="left" w:pos="0"/>
                    </w:tabs>
                    <w:adjustRightInd w:val="0"/>
                    <w:snapToGrid w:val="0"/>
                    <w:jc w:val="center"/>
                    <w:textAlignment w:val="baseline"/>
                    <w:rPr>
                      <w:bCs/>
                      <w:color w:val="000000"/>
                      <w:spacing w:val="4"/>
                      <w:szCs w:val="22"/>
                    </w:rPr>
                  </w:pPr>
                </w:p>
              </w:tc>
              <w:tc>
                <w:tcPr>
                  <w:tcW w:w="391"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总氮</w:t>
                  </w:r>
                </w:p>
              </w:tc>
              <w:tc>
                <w:tcPr>
                  <w:tcW w:w="78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10</w:t>
                  </w:r>
                </w:p>
              </w:tc>
            </w:tr>
          </w:tbl>
          <w:p>
            <w:pPr>
              <w:tabs>
                <w:tab w:val="left" w:pos="0"/>
              </w:tabs>
              <w:spacing w:before="60"/>
              <w:jc w:val="center"/>
              <w:rPr>
                <w:b/>
                <w:color w:val="000000"/>
                <w:sz w:val="24"/>
              </w:rPr>
            </w:pPr>
            <w:r>
              <w:rPr>
                <w:b/>
                <w:color w:val="000000"/>
                <w:sz w:val="24"/>
              </w:rPr>
              <w:t>表4-1</w:t>
            </w:r>
            <w:r>
              <w:rPr>
                <w:rFonts w:hint="eastAsia"/>
                <w:b/>
                <w:color w:val="000000"/>
                <w:sz w:val="24"/>
              </w:rPr>
              <w:t>6</w:t>
            </w:r>
            <w:r>
              <w:rPr>
                <w:b/>
                <w:color w:val="000000"/>
                <w:sz w:val="24"/>
              </w:rPr>
              <w:t xml:space="preserve">  废水污染物排放执行标准表</w:t>
            </w:r>
          </w:p>
          <w:tbl>
            <w:tblPr>
              <w:tblStyle w:val="20"/>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31"/>
              <w:gridCol w:w="1145"/>
              <w:gridCol w:w="1553"/>
              <w:gridCol w:w="3264"/>
              <w:gridCol w:w="20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jc w:val="center"/>
              </w:trPr>
              <w:tc>
                <w:tcPr>
                  <w:tcW w:w="569"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序号</w:t>
                  </w:r>
                </w:p>
              </w:tc>
              <w:tc>
                <w:tcPr>
                  <w:tcW w:w="631"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排放口编号</w:t>
                  </w:r>
                </w:p>
              </w:tc>
              <w:tc>
                <w:tcPr>
                  <w:tcW w:w="856" w:type="pct"/>
                  <w:vMerge w:val="restart"/>
                  <w:vAlign w:val="center"/>
                </w:tcPr>
                <w:p>
                  <w:pPr>
                    <w:tabs>
                      <w:tab w:val="left" w:pos="0"/>
                    </w:tabs>
                    <w:adjustRightInd w:val="0"/>
                    <w:snapToGrid w:val="0"/>
                    <w:jc w:val="center"/>
                    <w:textAlignment w:val="baseline"/>
                    <w:rPr>
                      <w:b/>
                      <w:color w:val="000000"/>
                      <w:spacing w:val="4"/>
                      <w:szCs w:val="22"/>
                    </w:rPr>
                  </w:pPr>
                  <w:r>
                    <w:rPr>
                      <w:b/>
                      <w:color w:val="000000"/>
                      <w:spacing w:val="4"/>
                      <w:szCs w:val="22"/>
                    </w:rPr>
                    <w:t>污染物种类</w:t>
                  </w:r>
                </w:p>
              </w:tc>
              <w:tc>
                <w:tcPr>
                  <w:tcW w:w="2942" w:type="pct"/>
                  <w:gridSpan w:val="2"/>
                  <w:vAlign w:val="center"/>
                </w:tcPr>
                <w:p>
                  <w:pPr>
                    <w:tabs>
                      <w:tab w:val="left" w:pos="0"/>
                    </w:tabs>
                    <w:adjustRightInd w:val="0"/>
                    <w:snapToGrid w:val="0"/>
                    <w:jc w:val="center"/>
                    <w:textAlignment w:val="baseline"/>
                    <w:rPr>
                      <w:b/>
                      <w:color w:val="000000"/>
                      <w:spacing w:val="4"/>
                      <w:szCs w:val="22"/>
                    </w:rPr>
                  </w:pPr>
                  <w:r>
                    <w:rPr>
                      <w:b/>
                      <w:color w:val="000000"/>
                      <w:spacing w:val="4"/>
                      <w:szCs w:val="22"/>
                    </w:rPr>
                    <w:t>国家或地方污染物排放标准及其他按规定商定的排放协议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 w:hRule="atLeast"/>
                <w:jc w:val="center"/>
              </w:trPr>
              <w:tc>
                <w:tcPr>
                  <w:tcW w:w="569" w:type="pct"/>
                  <w:vMerge w:val="continue"/>
                  <w:vAlign w:val="center"/>
                </w:tcPr>
                <w:p>
                  <w:pPr>
                    <w:tabs>
                      <w:tab w:val="left" w:pos="0"/>
                    </w:tabs>
                    <w:adjustRightInd w:val="0"/>
                    <w:snapToGrid w:val="0"/>
                    <w:jc w:val="center"/>
                    <w:textAlignment w:val="baseline"/>
                    <w:rPr>
                      <w:b/>
                      <w:color w:val="000000"/>
                      <w:spacing w:val="4"/>
                      <w:szCs w:val="22"/>
                    </w:rPr>
                  </w:pPr>
                </w:p>
              </w:tc>
              <w:tc>
                <w:tcPr>
                  <w:tcW w:w="631" w:type="pct"/>
                  <w:vMerge w:val="continue"/>
                  <w:vAlign w:val="center"/>
                </w:tcPr>
                <w:p>
                  <w:pPr>
                    <w:tabs>
                      <w:tab w:val="left" w:pos="0"/>
                    </w:tabs>
                    <w:adjustRightInd w:val="0"/>
                    <w:snapToGrid w:val="0"/>
                    <w:jc w:val="center"/>
                    <w:textAlignment w:val="baseline"/>
                    <w:rPr>
                      <w:b/>
                      <w:color w:val="000000"/>
                      <w:spacing w:val="4"/>
                      <w:szCs w:val="22"/>
                    </w:rPr>
                  </w:pPr>
                </w:p>
              </w:tc>
              <w:tc>
                <w:tcPr>
                  <w:tcW w:w="856" w:type="pct"/>
                  <w:vMerge w:val="continue"/>
                  <w:vAlign w:val="center"/>
                </w:tcPr>
                <w:p>
                  <w:pPr>
                    <w:tabs>
                      <w:tab w:val="left" w:pos="0"/>
                    </w:tabs>
                    <w:adjustRightInd w:val="0"/>
                    <w:snapToGrid w:val="0"/>
                    <w:jc w:val="center"/>
                    <w:textAlignment w:val="baseline"/>
                    <w:rPr>
                      <w:b/>
                      <w:color w:val="000000"/>
                      <w:spacing w:val="4"/>
                      <w:szCs w:val="22"/>
                    </w:rPr>
                  </w:pPr>
                </w:p>
              </w:tc>
              <w:tc>
                <w:tcPr>
                  <w:tcW w:w="1799"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名称</w:t>
                  </w:r>
                </w:p>
              </w:tc>
              <w:tc>
                <w:tcPr>
                  <w:tcW w:w="1143"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浓度限值（mg/l）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 w:hRule="atLeast"/>
                <w:jc w:val="center"/>
              </w:trPr>
              <w:tc>
                <w:tcPr>
                  <w:tcW w:w="569"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1</w:t>
                  </w:r>
                </w:p>
              </w:tc>
              <w:tc>
                <w:tcPr>
                  <w:tcW w:w="631"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DW001</w:t>
                  </w:r>
                </w:p>
              </w:tc>
              <w:tc>
                <w:tcPr>
                  <w:tcW w:w="856"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pH</w:t>
                  </w:r>
                </w:p>
              </w:tc>
              <w:tc>
                <w:tcPr>
                  <w:tcW w:w="1799"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《污水综合排放标准》（GB8978－1996）</w:t>
                  </w:r>
                </w:p>
                <w:p>
                  <w:pPr>
                    <w:tabs>
                      <w:tab w:val="left" w:pos="0"/>
                    </w:tabs>
                    <w:adjustRightInd w:val="0"/>
                    <w:snapToGrid w:val="0"/>
                    <w:jc w:val="center"/>
                    <w:textAlignment w:val="baseline"/>
                    <w:rPr>
                      <w:bCs/>
                      <w:color w:val="000000"/>
                      <w:spacing w:val="4"/>
                      <w:szCs w:val="22"/>
                    </w:rPr>
                  </w:pPr>
                  <w:r>
                    <w:rPr>
                      <w:bCs/>
                      <w:color w:val="000000"/>
                      <w:spacing w:val="4"/>
                      <w:szCs w:val="22"/>
                    </w:rPr>
                    <w:t>表4三级标准</w:t>
                  </w:r>
                </w:p>
              </w:tc>
              <w:tc>
                <w:tcPr>
                  <w:tcW w:w="1143"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6-9（无量纲）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6" w:hRule="atLeast"/>
                <w:jc w:val="center"/>
              </w:trPr>
              <w:tc>
                <w:tcPr>
                  <w:tcW w:w="569" w:type="pct"/>
                  <w:vMerge w:val="continue"/>
                  <w:vAlign w:val="center"/>
                </w:tcPr>
                <w:p>
                  <w:pPr>
                    <w:tabs>
                      <w:tab w:val="left" w:pos="0"/>
                    </w:tabs>
                    <w:adjustRightInd w:val="0"/>
                    <w:snapToGrid w:val="0"/>
                    <w:jc w:val="center"/>
                    <w:textAlignment w:val="baseline"/>
                    <w:rPr>
                      <w:bCs/>
                      <w:color w:val="000000"/>
                      <w:spacing w:val="4"/>
                      <w:szCs w:val="22"/>
                    </w:rPr>
                  </w:pPr>
                </w:p>
              </w:tc>
              <w:tc>
                <w:tcPr>
                  <w:tcW w:w="631" w:type="pct"/>
                  <w:vMerge w:val="continue"/>
                  <w:vAlign w:val="center"/>
                </w:tcPr>
                <w:p>
                  <w:pPr>
                    <w:tabs>
                      <w:tab w:val="left" w:pos="0"/>
                    </w:tabs>
                    <w:adjustRightInd w:val="0"/>
                    <w:snapToGrid w:val="0"/>
                    <w:jc w:val="center"/>
                    <w:textAlignment w:val="baseline"/>
                    <w:rPr>
                      <w:bCs/>
                      <w:color w:val="000000"/>
                      <w:spacing w:val="4"/>
                      <w:szCs w:val="22"/>
                    </w:rPr>
                  </w:pPr>
                </w:p>
              </w:tc>
              <w:tc>
                <w:tcPr>
                  <w:tcW w:w="856"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COD</w:t>
                  </w:r>
                </w:p>
              </w:tc>
              <w:tc>
                <w:tcPr>
                  <w:tcW w:w="1799" w:type="pct"/>
                  <w:vMerge w:val="continue"/>
                  <w:vAlign w:val="center"/>
                </w:tcPr>
                <w:p>
                  <w:pPr>
                    <w:tabs>
                      <w:tab w:val="left" w:pos="0"/>
                    </w:tabs>
                    <w:adjustRightInd w:val="0"/>
                    <w:snapToGrid w:val="0"/>
                    <w:jc w:val="center"/>
                    <w:textAlignment w:val="baseline"/>
                    <w:rPr>
                      <w:bCs/>
                      <w:color w:val="000000"/>
                      <w:spacing w:val="4"/>
                      <w:szCs w:val="22"/>
                    </w:rPr>
                  </w:pPr>
                </w:p>
              </w:tc>
              <w:tc>
                <w:tcPr>
                  <w:tcW w:w="1143"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8" w:hRule="atLeast"/>
                <w:jc w:val="center"/>
              </w:trPr>
              <w:tc>
                <w:tcPr>
                  <w:tcW w:w="569" w:type="pct"/>
                  <w:vMerge w:val="continue"/>
                  <w:vAlign w:val="center"/>
                </w:tcPr>
                <w:p>
                  <w:pPr>
                    <w:tabs>
                      <w:tab w:val="left" w:pos="0"/>
                    </w:tabs>
                    <w:adjustRightInd w:val="0"/>
                    <w:snapToGrid w:val="0"/>
                    <w:jc w:val="center"/>
                    <w:textAlignment w:val="baseline"/>
                    <w:rPr>
                      <w:bCs/>
                      <w:color w:val="000000"/>
                      <w:spacing w:val="4"/>
                      <w:szCs w:val="22"/>
                    </w:rPr>
                  </w:pPr>
                </w:p>
              </w:tc>
              <w:tc>
                <w:tcPr>
                  <w:tcW w:w="631" w:type="pct"/>
                  <w:vMerge w:val="continue"/>
                  <w:vAlign w:val="center"/>
                </w:tcPr>
                <w:p>
                  <w:pPr>
                    <w:tabs>
                      <w:tab w:val="left" w:pos="0"/>
                    </w:tabs>
                    <w:adjustRightInd w:val="0"/>
                    <w:snapToGrid w:val="0"/>
                    <w:jc w:val="center"/>
                    <w:textAlignment w:val="baseline"/>
                    <w:rPr>
                      <w:bCs/>
                      <w:color w:val="000000"/>
                      <w:spacing w:val="4"/>
                      <w:szCs w:val="22"/>
                    </w:rPr>
                  </w:pPr>
                </w:p>
              </w:tc>
              <w:tc>
                <w:tcPr>
                  <w:tcW w:w="856"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SS</w:t>
                  </w:r>
                </w:p>
              </w:tc>
              <w:tc>
                <w:tcPr>
                  <w:tcW w:w="1799" w:type="pct"/>
                  <w:vMerge w:val="continue"/>
                  <w:vAlign w:val="center"/>
                </w:tcPr>
                <w:p>
                  <w:pPr>
                    <w:tabs>
                      <w:tab w:val="left" w:pos="0"/>
                    </w:tabs>
                    <w:adjustRightInd w:val="0"/>
                    <w:snapToGrid w:val="0"/>
                    <w:jc w:val="center"/>
                    <w:textAlignment w:val="baseline"/>
                    <w:rPr>
                      <w:bCs/>
                      <w:color w:val="000000"/>
                      <w:spacing w:val="4"/>
                      <w:szCs w:val="22"/>
                    </w:rPr>
                  </w:pPr>
                </w:p>
              </w:tc>
              <w:tc>
                <w:tcPr>
                  <w:tcW w:w="1143"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 w:hRule="atLeast"/>
                <w:jc w:val="center"/>
              </w:trPr>
              <w:tc>
                <w:tcPr>
                  <w:tcW w:w="569" w:type="pct"/>
                  <w:vMerge w:val="continue"/>
                  <w:vAlign w:val="center"/>
                </w:tcPr>
                <w:p>
                  <w:pPr>
                    <w:tabs>
                      <w:tab w:val="left" w:pos="0"/>
                    </w:tabs>
                    <w:adjustRightInd w:val="0"/>
                    <w:snapToGrid w:val="0"/>
                    <w:jc w:val="center"/>
                    <w:textAlignment w:val="baseline"/>
                    <w:rPr>
                      <w:bCs/>
                      <w:color w:val="000000"/>
                      <w:spacing w:val="4"/>
                      <w:szCs w:val="22"/>
                    </w:rPr>
                  </w:pPr>
                </w:p>
              </w:tc>
              <w:tc>
                <w:tcPr>
                  <w:tcW w:w="631" w:type="pct"/>
                  <w:vMerge w:val="continue"/>
                  <w:vAlign w:val="center"/>
                </w:tcPr>
                <w:p>
                  <w:pPr>
                    <w:tabs>
                      <w:tab w:val="left" w:pos="0"/>
                    </w:tabs>
                    <w:adjustRightInd w:val="0"/>
                    <w:snapToGrid w:val="0"/>
                    <w:jc w:val="center"/>
                    <w:textAlignment w:val="baseline"/>
                    <w:rPr>
                      <w:bCs/>
                      <w:color w:val="000000"/>
                      <w:spacing w:val="4"/>
                      <w:szCs w:val="22"/>
                    </w:rPr>
                  </w:pPr>
                </w:p>
              </w:tc>
              <w:tc>
                <w:tcPr>
                  <w:tcW w:w="856"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氨氮</w:t>
                  </w:r>
                </w:p>
              </w:tc>
              <w:tc>
                <w:tcPr>
                  <w:tcW w:w="1799" w:type="pct"/>
                  <w:vMerge w:val="restar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《污水排入城镇下水道水质标准》（GB/T31962-2015）</w:t>
                  </w:r>
                </w:p>
              </w:tc>
              <w:tc>
                <w:tcPr>
                  <w:tcW w:w="1143"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 w:hRule="atLeast"/>
                <w:jc w:val="center"/>
              </w:trPr>
              <w:tc>
                <w:tcPr>
                  <w:tcW w:w="569" w:type="pct"/>
                  <w:vMerge w:val="continue"/>
                  <w:vAlign w:val="center"/>
                </w:tcPr>
                <w:p>
                  <w:pPr>
                    <w:tabs>
                      <w:tab w:val="left" w:pos="0"/>
                    </w:tabs>
                    <w:adjustRightInd w:val="0"/>
                    <w:snapToGrid w:val="0"/>
                    <w:jc w:val="center"/>
                    <w:textAlignment w:val="baseline"/>
                    <w:rPr>
                      <w:bCs/>
                      <w:color w:val="000000"/>
                      <w:spacing w:val="4"/>
                      <w:szCs w:val="22"/>
                    </w:rPr>
                  </w:pPr>
                </w:p>
              </w:tc>
              <w:tc>
                <w:tcPr>
                  <w:tcW w:w="631" w:type="pct"/>
                  <w:vMerge w:val="continue"/>
                  <w:vAlign w:val="center"/>
                </w:tcPr>
                <w:p>
                  <w:pPr>
                    <w:tabs>
                      <w:tab w:val="left" w:pos="0"/>
                    </w:tabs>
                    <w:adjustRightInd w:val="0"/>
                    <w:snapToGrid w:val="0"/>
                    <w:jc w:val="center"/>
                    <w:textAlignment w:val="baseline"/>
                    <w:rPr>
                      <w:bCs/>
                      <w:color w:val="000000"/>
                      <w:spacing w:val="4"/>
                      <w:szCs w:val="22"/>
                    </w:rPr>
                  </w:pPr>
                </w:p>
              </w:tc>
              <w:tc>
                <w:tcPr>
                  <w:tcW w:w="856"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总磷</w:t>
                  </w:r>
                </w:p>
              </w:tc>
              <w:tc>
                <w:tcPr>
                  <w:tcW w:w="1799" w:type="pct"/>
                  <w:vMerge w:val="continue"/>
                  <w:vAlign w:val="center"/>
                </w:tcPr>
                <w:p>
                  <w:pPr>
                    <w:tabs>
                      <w:tab w:val="left" w:pos="0"/>
                    </w:tabs>
                    <w:adjustRightInd w:val="0"/>
                    <w:snapToGrid w:val="0"/>
                    <w:jc w:val="center"/>
                    <w:textAlignment w:val="baseline"/>
                    <w:rPr>
                      <w:bCs/>
                      <w:color w:val="000000"/>
                      <w:spacing w:val="4"/>
                      <w:szCs w:val="22"/>
                    </w:rPr>
                  </w:pPr>
                </w:p>
              </w:tc>
              <w:tc>
                <w:tcPr>
                  <w:tcW w:w="1143"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 w:hRule="atLeast"/>
                <w:jc w:val="center"/>
              </w:trPr>
              <w:tc>
                <w:tcPr>
                  <w:tcW w:w="569" w:type="pct"/>
                  <w:vMerge w:val="continue"/>
                  <w:vAlign w:val="center"/>
                </w:tcPr>
                <w:p>
                  <w:pPr>
                    <w:tabs>
                      <w:tab w:val="left" w:pos="0"/>
                    </w:tabs>
                    <w:adjustRightInd w:val="0"/>
                    <w:snapToGrid w:val="0"/>
                    <w:jc w:val="center"/>
                    <w:textAlignment w:val="baseline"/>
                    <w:rPr>
                      <w:bCs/>
                      <w:color w:val="000000"/>
                      <w:spacing w:val="4"/>
                      <w:szCs w:val="22"/>
                    </w:rPr>
                  </w:pPr>
                </w:p>
              </w:tc>
              <w:tc>
                <w:tcPr>
                  <w:tcW w:w="631" w:type="pct"/>
                  <w:vMerge w:val="continue"/>
                  <w:vAlign w:val="center"/>
                </w:tcPr>
                <w:p>
                  <w:pPr>
                    <w:tabs>
                      <w:tab w:val="left" w:pos="0"/>
                    </w:tabs>
                    <w:adjustRightInd w:val="0"/>
                    <w:snapToGrid w:val="0"/>
                    <w:jc w:val="center"/>
                    <w:textAlignment w:val="baseline"/>
                    <w:rPr>
                      <w:bCs/>
                      <w:color w:val="000000"/>
                      <w:spacing w:val="4"/>
                      <w:szCs w:val="22"/>
                    </w:rPr>
                  </w:pPr>
                </w:p>
              </w:tc>
              <w:tc>
                <w:tcPr>
                  <w:tcW w:w="856"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总氮</w:t>
                  </w:r>
                </w:p>
              </w:tc>
              <w:tc>
                <w:tcPr>
                  <w:tcW w:w="1799" w:type="pct"/>
                  <w:vMerge w:val="continue"/>
                  <w:vAlign w:val="center"/>
                </w:tcPr>
                <w:p>
                  <w:pPr>
                    <w:tabs>
                      <w:tab w:val="left" w:pos="0"/>
                    </w:tabs>
                    <w:adjustRightInd w:val="0"/>
                    <w:snapToGrid w:val="0"/>
                    <w:jc w:val="center"/>
                    <w:textAlignment w:val="baseline"/>
                    <w:rPr>
                      <w:bCs/>
                      <w:color w:val="000000"/>
                      <w:spacing w:val="4"/>
                      <w:szCs w:val="22"/>
                    </w:rPr>
                  </w:pPr>
                </w:p>
              </w:tc>
              <w:tc>
                <w:tcPr>
                  <w:tcW w:w="1143"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70</w:t>
                  </w:r>
                </w:p>
              </w:tc>
            </w:tr>
          </w:tbl>
          <w:p>
            <w:pPr>
              <w:snapToGrid w:val="0"/>
              <w:spacing w:before="60"/>
              <w:jc w:val="center"/>
              <w:rPr>
                <w:b/>
                <w:color w:val="000000"/>
                <w:sz w:val="24"/>
              </w:rPr>
            </w:pPr>
            <w:r>
              <w:rPr>
                <w:b/>
                <w:color w:val="000000"/>
                <w:sz w:val="24"/>
              </w:rPr>
              <w:t>表4-1</w:t>
            </w:r>
            <w:r>
              <w:rPr>
                <w:rFonts w:hint="eastAsia"/>
                <w:b/>
                <w:color w:val="000000"/>
                <w:sz w:val="24"/>
              </w:rPr>
              <w:t>7</w:t>
            </w:r>
            <w:r>
              <w:rPr>
                <w:b/>
                <w:color w:val="000000"/>
                <w:sz w:val="24"/>
              </w:rPr>
              <w:t xml:space="preserve">  废水污染物排放信息表</w:t>
            </w:r>
          </w:p>
          <w:tbl>
            <w:tblPr>
              <w:tblStyle w:val="20"/>
              <w:tblW w:w="4998" w:type="pct"/>
              <w:tblInd w:w="0" w:type="dxa"/>
              <w:tblLayout w:type="autofit"/>
              <w:tblCellMar>
                <w:top w:w="0" w:type="dxa"/>
                <w:left w:w="108" w:type="dxa"/>
                <w:bottom w:w="0" w:type="dxa"/>
                <w:right w:w="108" w:type="dxa"/>
              </w:tblCellMar>
            </w:tblPr>
            <w:tblGrid>
              <w:gridCol w:w="1127"/>
              <w:gridCol w:w="1298"/>
              <w:gridCol w:w="1787"/>
              <w:gridCol w:w="1785"/>
              <w:gridCol w:w="1460"/>
              <w:gridCol w:w="1618"/>
            </w:tblGrid>
            <w:tr>
              <w:tblPrEx>
                <w:tblCellMar>
                  <w:top w:w="0" w:type="dxa"/>
                  <w:left w:w="108" w:type="dxa"/>
                  <w:bottom w:w="0" w:type="dxa"/>
                  <w:right w:w="108" w:type="dxa"/>
                </w:tblCellMar>
              </w:tblPrEx>
              <w:trPr>
                <w:trHeight w:val="555" w:hRule="atLeast"/>
              </w:trPr>
              <w:tc>
                <w:tcPr>
                  <w:tcW w:w="621" w:type="pct"/>
                  <w:tcBorders>
                    <w:top w:val="single" w:color="000000" w:sz="8" w:space="0"/>
                    <w:left w:val="single" w:color="000000" w:sz="8" w:space="0"/>
                    <w:bottom w:val="single" w:color="000000" w:sz="8" w:space="0"/>
                    <w:right w:val="single" w:color="000000" w:sz="8"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排放口编号</w:t>
                  </w:r>
                </w:p>
              </w:tc>
              <w:tc>
                <w:tcPr>
                  <w:tcW w:w="715" w:type="pct"/>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废水种类</w:t>
                  </w:r>
                </w:p>
              </w:tc>
              <w:tc>
                <w:tcPr>
                  <w:tcW w:w="984" w:type="pct"/>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污染物种类</w:t>
                  </w:r>
                </w:p>
              </w:tc>
              <w:tc>
                <w:tcPr>
                  <w:tcW w:w="983" w:type="pct"/>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排放浓度</w:t>
                  </w:r>
                  <w:r>
                    <w:rPr>
                      <w:b/>
                      <w:bCs/>
                      <w:color w:val="000000"/>
                      <w:kern w:val="0"/>
                      <w:szCs w:val="21"/>
                    </w:rPr>
                    <w:t>/</w:t>
                  </w:r>
                  <w:r>
                    <w:rPr>
                      <w:rFonts w:ascii="宋体" w:hAnsi="宋体" w:cs="宋体"/>
                      <w:b/>
                      <w:bCs/>
                      <w:color w:val="000000"/>
                      <w:kern w:val="0"/>
                      <w:szCs w:val="21"/>
                    </w:rPr>
                    <w:t>（</w:t>
                  </w:r>
                  <w:r>
                    <w:rPr>
                      <w:b/>
                      <w:bCs/>
                      <w:color w:val="000000"/>
                      <w:kern w:val="0"/>
                      <w:szCs w:val="21"/>
                    </w:rPr>
                    <w:t>mg/L</w:t>
                  </w:r>
                  <w:r>
                    <w:rPr>
                      <w:rFonts w:ascii="宋体" w:hAnsi="宋体" w:cs="宋体"/>
                      <w:b/>
                      <w:bCs/>
                      <w:color w:val="000000"/>
                      <w:kern w:val="0"/>
                      <w:szCs w:val="21"/>
                    </w:rPr>
                    <w:t>）</w:t>
                  </w:r>
                </w:p>
              </w:tc>
              <w:tc>
                <w:tcPr>
                  <w:tcW w:w="804" w:type="pct"/>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日排放量</w:t>
                  </w:r>
                  <w:r>
                    <w:rPr>
                      <w:b/>
                      <w:bCs/>
                      <w:color w:val="000000"/>
                      <w:kern w:val="0"/>
                      <w:szCs w:val="21"/>
                    </w:rPr>
                    <w:t>/</w:t>
                  </w:r>
                  <w:r>
                    <w:rPr>
                      <w:rFonts w:ascii="宋体" w:hAnsi="宋体" w:cs="宋体"/>
                      <w:b/>
                      <w:bCs/>
                      <w:color w:val="000000"/>
                      <w:kern w:val="0"/>
                      <w:szCs w:val="21"/>
                    </w:rPr>
                    <w:t>（</w:t>
                  </w:r>
                  <w:r>
                    <w:rPr>
                      <w:b/>
                      <w:bCs/>
                      <w:color w:val="000000"/>
                      <w:kern w:val="0"/>
                      <w:szCs w:val="21"/>
                    </w:rPr>
                    <w:t>t/d</w:t>
                  </w:r>
                  <w:r>
                    <w:rPr>
                      <w:rFonts w:ascii="宋体" w:hAnsi="宋体" w:cs="宋体"/>
                      <w:b/>
                      <w:bCs/>
                      <w:color w:val="000000"/>
                      <w:kern w:val="0"/>
                      <w:szCs w:val="21"/>
                    </w:rPr>
                    <w:t>）</w:t>
                  </w:r>
                </w:p>
              </w:tc>
              <w:tc>
                <w:tcPr>
                  <w:tcW w:w="891" w:type="pct"/>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年排放量</w:t>
                  </w:r>
                  <w:r>
                    <w:rPr>
                      <w:b/>
                      <w:bCs/>
                      <w:color w:val="000000"/>
                      <w:kern w:val="0"/>
                      <w:szCs w:val="21"/>
                    </w:rPr>
                    <w:t>/</w:t>
                  </w:r>
                  <w:r>
                    <w:rPr>
                      <w:rFonts w:ascii="宋体" w:hAnsi="宋体" w:cs="宋体"/>
                      <w:b/>
                      <w:bCs/>
                      <w:color w:val="000000"/>
                      <w:kern w:val="0"/>
                      <w:szCs w:val="21"/>
                    </w:rPr>
                    <w:t>（</w:t>
                  </w:r>
                  <w:r>
                    <w:rPr>
                      <w:b/>
                      <w:bCs/>
                      <w:color w:val="000000"/>
                      <w:kern w:val="0"/>
                      <w:szCs w:val="21"/>
                    </w:rPr>
                    <w:t>t/a</w:t>
                  </w:r>
                  <w:r>
                    <w:rPr>
                      <w:rFonts w:ascii="宋体" w:hAnsi="宋体" w:cs="宋体"/>
                      <w:b/>
                      <w:bCs/>
                      <w:color w:val="000000"/>
                      <w:kern w:val="0"/>
                      <w:szCs w:val="21"/>
                    </w:rPr>
                    <w:t>）</w:t>
                  </w:r>
                </w:p>
              </w:tc>
            </w:tr>
            <w:tr>
              <w:tblPrEx>
                <w:tblCellMar>
                  <w:top w:w="0" w:type="dxa"/>
                  <w:left w:w="108" w:type="dxa"/>
                  <w:bottom w:w="0" w:type="dxa"/>
                  <w:right w:w="108" w:type="dxa"/>
                </w:tblCellMar>
              </w:tblPrEx>
              <w:trPr>
                <w:trHeight w:val="300" w:hRule="atLeast"/>
              </w:trPr>
              <w:tc>
                <w:tcPr>
                  <w:tcW w:w="621" w:type="pct"/>
                  <w:vMerge w:val="restart"/>
                  <w:tcBorders>
                    <w:top w:val="nil"/>
                    <w:left w:val="single" w:color="000000" w:sz="8" w:space="0"/>
                    <w:bottom w:val="single" w:color="000000" w:sz="8" w:space="0"/>
                    <w:right w:val="single" w:color="000000" w:sz="8" w:space="0"/>
                  </w:tcBorders>
                  <w:vAlign w:val="center"/>
                </w:tcPr>
                <w:p>
                  <w:pPr>
                    <w:widowControl/>
                    <w:jc w:val="center"/>
                    <w:rPr>
                      <w:color w:val="000000"/>
                      <w:kern w:val="0"/>
                      <w:szCs w:val="21"/>
                    </w:rPr>
                  </w:pPr>
                  <w:r>
                    <w:rPr>
                      <w:color w:val="000000"/>
                      <w:kern w:val="0"/>
                      <w:szCs w:val="21"/>
                    </w:rPr>
                    <w:t>DW001</w:t>
                  </w:r>
                </w:p>
              </w:tc>
              <w:tc>
                <w:tcPr>
                  <w:tcW w:w="715" w:type="pct"/>
                  <w:vMerge w:val="restart"/>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生活废水</w:t>
                  </w:r>
                </w:p>
              </w:tc>
              <w:tc>
                <w:tcPr>
                  <w:tcW w:w="984" w:type="pct"/>
                  <w:tcBorders>
                    <w:top w:val="nil"/>
                    <w:left w:val="nil"/>
                    <w:bottom w:val="single" w:color="000000" w:sz="8" w:space="0"/>
                    <w:right w:val="single" w:color="000000" w:sz="8" w:space="0"/>
                  </w:tcBorders>
                  <w:vAlign w:val="center"/>
                </w:tcPr>
                <w:p>
                  <w:pPr>
                    <w:widowControl/>
                    <w:jc w:val="center"/>
                    <w:rPr>
                      <w:color w:val="000000"/>
                      <w:kern w:val="0"/>
                      <w:szCs w:val="21"/>
                    </w:rPr>
                  </w:pPr>
                  <w:r>
                    <w:rPr>
                      <w:color w:val="000000"/>
                      <w:kern w:val="0"/>
                      <w:szCs w:val="21"/>
                    </w:rPr>
                    <w:t>COD</w:t>
                  </w:r>
                </w:p>
              </w:tc>
              <w:tc>
                <w:tcPr>
                  <w:tcW w:w="983" w:type="pct"/>
                  <w:tcBorders>
                    <w:top w:val="nil"/>
                    <w:left w:val="nil"/>
                    <w:bottom w:val="single" w:color="000000" w:sz="8" w:space="0"/>
                    <w:right w:val="single" w:color="000000" w:sz="8" w:space="0"/>
                  </w:tcBorders>
                  <w:vAlign w:val="center"/>
                </w:tcPr>
                <w:p>
                  <w:pPr>
                    <w:jc w:val="center"/>
                    <w:rPr>
                      <w:color w:val="000000"/>
                      <w:kern w:val="0"/>
                      <w:szCs w:val="21"/>
                    </w:rPr>
                  </w:pPr>
                  <w:r>
                    <w:rPr>
                      <w:rFonts w:hint="eastAsia"/>
                      <w:color w:val="000000"/>
                      <w:szCs w:val="21"/>
                    </w:rPr>
                    <w:t>5</w:t>
                  </w:r>
                  <w:r>
                    <w:rPr>
                      <w:color w:val="000000"/>
                      <w:szCs w:val="21"/>
                    </w:rPr>
                    <w:t>00</w:t>
                  </w:r>
                </w:p>
              </w:tc>
              <w:tc>
                <w:tcPr>
                  <w:tcW w:w="804" w:type="pct"/>
                  <w:tcBorders>
                    <w:top w:val="nil"/>
                    <w:left w:val="nil"/>
                    <w:bottom w:val="single" w:color="000000" w:sz="8" w:space="0"/>
                    <w:right w:val="single" w:color="000000" w:sz="8" w:space="0"/>
                  </w:tcBorders>
                  <w:vAlign w:val="center"/>
                </w:tcPr>
                <w:p>
                  <w:pPr>
                    <w:widowControl/>
                    <w:jc w:val="center"/>
                    <w:rPr>
                      <w:color w:val="000000"/>
                      <w:kern w:val="0"/>
                      <w:szCs w:val="21"/>
                    </w:rPr>
                  </w:pPr>
                  <w:r>
                    <w:rPr>
                      <w:color w:val="000000"/>
                      <w:kern w:val="0"/>
                      <w:szCs w:val="21"/>
                    </w:rPr>
                    <w:t>0.00</w:t>
                  </w:r>
                  <w:r>
                    <w:rPr>
                      <w:rFonts w:hint="eastAsia"/>
                      <w:color w:val="000000"/>
                      <w:kern w:val="0"/>
                      <w:szCs w:val="21"/>
                    </w:rPr>
                    <w:t>85</w:t>
                  </w:r>
                </w:p>
              </w:tc>
              <w:tc>
                <w:tcPr>
                  <w:tcW w:w="891" w:type="pct"/>
                  <w:tcBorders>
                    <w:top w:val="nil"/>
                    <w:left w:val="nil"/>
                    <w:bottom w:val="single" w:color="000000" w:sz="8" w:space="0"/>
                    <w:right w:val="single" w:color="000000" w:sz="8" w:space="0"/>
                  </w:tcBorders>
                  <w:vAlign w:val="center"/>
                </w:tcPr>
                <w:p>
                  <w:pPr>
                    <w:widowControl/>
                    <w:jc w:val="center"/>
                    <w:textAlignment w:val="center"/>
                    <w:rPr>
                      <w:color w:val="000000"/>
                      <w:kern w:val="0"/>
                      <w:szCs w:val="21"/>
                    </w:rPr>
                  </w:pPr>
                  <w:r>
                    <w:rPr>
                      <w:rFonts w:hint="eastAsia"/>
                      <w:color w:val="000000"/>
                      <w:spacing w:val="4"/>
                    </w:rPr>
                    <w:t>2.55</w:t>
                  </w:r>
                </w:p>
              </w:tc>
            </w:tr>
            <w:tr>
              <w:tblPrEx>
                <w:tblCellMar>
                  <w:top w:w="0" w:type="dxa"/>
                  <w:left w:w="108" w:type="dxa"/>
                  <w:bottom w:w="0" w:type="dxa"/>
                  <w:right w:w="108" w:type="dxa"/>
                </w:tblCellMar>
              </w:tblPrEx>
              <w:trPr>
                <w:trHeight w:val="300" w:hRule="atLeast"/>
              </w:trPr>
              <w:tc>
                <w:tcPr>
                  <w:tcW w:w="621" w:type="pct"/>
                  <w:vMerge w:val="continue"/>
                  <w:tcBorders>
                    <w:top w:val="nil"/>
                    <w:left w:val="single" w:color="000000" w:sz="8" w:space="0"/>
                    <w:bottom w:val="single" w:color="000000" w:sz="8" w:space="0"/>
                    <w:right w:val="single" w:color="000000" w:sz="8" w:space="0"/>
                  </w:tcBorders>
                  <w:vAlign w:val="center"/>
                </w:tcPr>
                <w:p>
                  <w:pPr>
                    <w:widowControl/>
                    <w:jc w:val="left"/>
                    <w:rPr>
                      <w:color w:val="000000"/>
                      <w:kern w:val="0"/>
                      <w:szCs w:val="21"/>
                    </w:rPr>
                  </w:pPr>
                </w:p>
              </w:tc>
              <w:tc>
                <w:tcPr>
                  <w:tcW w:w="715" w:type="pct"/>
                  <w:vMerge w:val="continue"/>
                  <w:tcBorders>
                    <w:top w:val="nil"/>
                    <w:left w:val="nil"/>
                    <w:bottom w:val="single" w:color="000000" w:sz="8" w:space="0"/>
                    <w:right w:val="single" w:color="000000" w:sz="8" w:space="0"/>
                  </w:tcBorders>
                  <w:vAlign w:val="center"/>
                </w:tcPr>
                <w:p>
                  <w:pPr>
                    <w:widowControl/>
                    <w:jc w:val="left"/>
                    <w:rPr>
                      <w:rFonts w:ascii="宋体" w:hAnsi="宋体" w:cs="宋体"/>
                      <w:color w:val="000000"/>
                      <w:kern w:val="0"/>
                      <w:szCs w:val="21"/>
                    </w:rPr>
                  </w:pPr>
                </w:p>
              </w:tc>
              <w:tc>
                <w:tcPr>
                  <w:tcW w:w="984" w:type="pct"/>
                  <w:tcBorders>
                    <w:top w:val="nil"/>
                    <w:left w:val="nil"/>
                    <w:bottom w:val="single" w:color="000000" w:sz="8" w:space="0"/>
                    <w:right w:val="single" w:color="000000" w:sz="8" w:space="0"/>
                  </w:tcBorders>
                  <w:vAlign w:val="center"/>
                </w:tcPr>
                <w:p>
                  <w:pPr>
                    <w:widowControl/>
                    <w:jc w:val="center"/>
                    <w:rPr>
                      <w:color w:val="000000"/>
                      <w:kern w:val="0"/>
                      <w:szCs w:val="21"/>
                    </w:rPr>
                  </w:pPr>
                  <w:r>
                    <w:rPr>
                      <w:color w:val="000000"/>
                      <w:kern w:val="0"/>
                      <w:szCs w:val="21"/>
                    </w:rPr>
                    <w:t>SS</w:t>
                  </w:r>
                </w:p>
              </w:tc>
              <w:tc>
                <w:tcPr>
                  <w:tcW w:w="983" w:type="pct"/>
                  <w:tcBorders>
                    <w:top w:val="nil"/>
                    <w:left w:val="nil"/>
                    <w:bottom w:val="single" w:color="000000" w:sz="8" w:space="0"/>
                    <w:right w:val="single" w:color="000000" w:sz="8" w:space="0"/>
                  </w:tcBorders>
                  <w:vAlign w:val="center"/>
                </w:tcPr>
                <w:p>
                  <w:pPr>
                    <w:jc w:val="center"/>
                    <w:rPr>
                      <w:color w:val="000000"/>
                      <w:kern w:val="0"/>
                      <w:szCs w:val="21"/>
                    </w:rPr>
                  </w:pPr>
                  <w:r>
                    <w:rPr>
                      <w:rFonts w:hint="eastAsia"/>
                      <w:color w:val="000000"/>
                      <w:szCs w:val="21"/>
                    </w:rPr>
                    <w:t>4</w:t>
                  </w:r>
                  <w:r>
                    <w:rPr>
                      <w:color w:val="000000"/>
                      <w:szCs w:val="21"/>
                    </w:rPr>
                    <w:t>00</w:t>
                  </w:r>
                </w:p>
              </w:tc>
              <w:tc>
                <w:tcPr>
                  <w:tcW w:w="804" w:type="pct"/>
                  <w:tcBorders>
                    <w:top w:val="nil"/>
                    <w:left w:val="nil"/>
                    <w:bottom w:val="single" w:color="000000" w:sz="8" w:space="0"/>
                    <w:right w:val="single" w:color="000000" w:sz="8" w:space="0"/>
                  </w:tcBorders>
                  <w:vAlign w:val="center"/>
                </w:tcPr>
                <w:p>
                  <w:pPr>
                    <w:widowControl/>
                    <w:jc w:val="center"/>
                    <w:rPr>
                      <w:color w:val="000000"/>
                      <w:kern w:val="0"/>
                      <w:szCs w:val="21"/>
                    </w:rPr>
                  </w:pPr>
                  <w:r>
                    <w:rPr>
                      <w:color w:val="000000"/>
                      <w:kern w:val="0"/>
                      <w:szCs w:val="21"/>
                    </w:rPr>
                    <w:t>0.00</w:t>
                  </w:r>
                  <w:r>
                    <w:rPr>
                      <w:rFonts w:hint="eastAsia"/>
                      <w:color w:val="000000"/>
                      <w:kern w:val="0"/>
                      <w:szCs w:val="21"/>
                    </w:rPr>
                    <w:t>68</w:t>
                  </w:r>
                </w:p>
              </w:tc>
              <w:tc>
                <w:tcPr>
                  <w:tcW w:w="891" w:type="pct"/>
                  <w:tcBorders>
                    <w:top w:val="nil"/>
                    <w:left w:val="nil"/>
                    <w:bottom w:val="single" w:color="000000" w:sz="8" w:space="0"/>
                    <w:right w:val="single" w:color="000000" w:sz="8" w:space="0"/>
                  </w:tcBorders>
                  <w:vAlign w:val="center"/>
                </w:tcPr>
                <w:p>
                  <w:pPr>
                    <w:widowControl/>
                    <w:jc w:val="center"/>
                    <w:textAlignment w:val="center"/>
                    <w:rPr>
                      <w:color w:val="000000"/>
                      <w:kern w:val="0"/>
                      <w:szCs w:val="21"/>
                    </w:rPr>
                  </w:pPr>
                  <w:r>
                    <w:rPr>
                      <w:rFonts w:hint="eastAsia"/>
                      <w:color w:val="000000"/>
                      <w:spacing w:val="4"/>
                    </w:rPr>
                    <w:t>2.04</w:t>
                  </w:r>
                </w:p>
              </w:tc>
            </w:tr>
            <w:tr>
              <w:tblPrEx>
                <w:tblCellMar>
                  <w:top w:w="0" w:type="dxa"/>
                  <w:left w:w="108" w:type="dxa"/>
                  <w:bottom w:w="0" w:type="dxa"/>
                  <w:right w:w="108" w:type="dxa"/>
                </w:tblCellMar>
              </w:tblPrEx>
              <w:trPr>
                <w:trHeight w:val="300" w:hRule="atLeast"/>
              </w:trPr>
              <w:tc>
                <w:tcPr>
                  <w:tcW w:w="621" w:type="pct"/>
                  <w:vMerge w:val="continue"/>
                  <w:tcBorders>
                    <w:top w:val="nil"/>
                    <w:left w:val="single" w:color="000000" w:sz="8" w:space="0"/>
                    <w:bottom w:val="single" w:color="000000" w:sz="8" w:space="0"/>
                    <w:right w:val="single" w:color="000000" w:sz="8" w:space="0"/>
                  </w:tcBorders>
                  <w:vAlign w:val="center"/>
                </w:tcPr>
                <w:p>
                  <w:pPr>
                    <w:widowControl/>
                    <w:jc w:val="left"/>
                    <w:rPr>
                      <w:color w:val="000000"/>
                      <w:kern w:val="0"/>
                      <w:szCs w:val="21"/>
                    </w:rPr>
                  </w:pPr>
                </w:p>
              </w:tc>
              <w:tc>
                <w:tcPr>
                  <w:tcW w:w="715" w:type="pct"/>
                  <w:vMerge w:val="continue"/>
                  <w:tcBorders>
                    <w:top w:val="nil"/>
                    <w:left w:val="nil"/>
                    <w:bottom w:val="single" w:color="000000" w:sz="8" w:space="0"/>
                    <w:right w:val="single" w:color="000000" w:sz="8" w:space="0"/>
                  </w:tcBorders>
                  <w:vAlign w:val="center"/>
                </w:tcPr>
                <w:p>
                  <w:pPr>
                    <w:widowControl/>
                    <w:jc w:val="left"/>
                    <w:rPr>
                      <w:rFonts w:ascii="宋体" w:hAnsi="宋体" w:cs="宋体"/>
                      <w:color w:val="000000"/>
                      <w:kern w:val="0"/>
                      <w:szCs w:val="21"/>
                    </w:rPr>
                  </w:pPr>
                </w:p>
              </w:tc>
              <w:tc>
                <w:tcPr>
                  <w:tcW w:w="984" w:type="pct"/>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氨氮</w:t>
                  </w:r>
                </w:p>
              </w:tc>
              <w:tc>
                <w:tcPr>
                  <w:tcW w:w="983" w:type="pct"/>
                  <w:tcBorders>
                    <w:top w:val="nil"/>
                    <w:left w:val="nil"/>
                    <w:bottom w:val="single" w:color="000000" w:sz="8" w:space="0"/>
                    <w:right w:val="single" w:color="000000" w:sz="8" w:space="0"/>
                  </w:tcBorders>
                  <w:vAlign w:val="center"/>
                </w:tcPr>
                <w:p>
                  <w:pPr>
                    <w:jc w:val="center"/>
                    <w:rPr>
                      <w:color w:val="000000"/>
                      <w:kern w:val="0"/>
                      <w:szCs w:val="21"/>
                    </w:rPr>
                  </w:pPr>
                  <w:r>
                    <w:rPr>
                      <w:rFonts w:hint="eastAsia"/>
                      <w:color w:val="000000"/>
                      <w:szCs w:val="21"/>
                    </w:rPr>
                    <w:t>4</w:t>
                  </w:r>
                  <w:r>
                    <w:rPr>
                      <w:color w:val="000000"/>
                      <w:szCs w:val="21"/>
                    </w:rPr>
                    <w:t>5</w:t>
                  </w:r>
                </w:p>
              </w:tc>
              <w:tc>
                <w:tcPr>
                  <w:tcW w:w="804" w:type="pct"/>
                  <w:tcBorders>
                    <w:top w:val="nil"/>
                    <w:left w:val="nil"/>
                    <w:bottom w:val="single" w:color="000000" w:sz="8" w:space="0"/>
                    <w:right w:val="single" w:color="000000" w:sz="8" w:space="0"/>
                  </w:tcBorders>
                  <w:vAlign w:val="center"/>
                </w:tcPr>
                <w:p>
                  <w:pPr>
                    <w:widowControl/>
                    <w:jc w:val="center"/>
                    <w:rPr>
                      <w:color w:val="000000"/>
                      <w:kern w:val="0"/>
                      <w:szCs w:val="21"/>
                    </w:rPr>
                  </w:pPr>
                  <w:r>
                    <w:rPr>
                      <w:color w:val="000000"/>
                      <w:kern w:val="0"/>
                      <w:szCs w:val="21"/>
                    </w:rPr>
                    <w:t>0.000</w:t>
                  </w:r>
                  <w:r>
                    <w:rPr>
                      <w:rFonts w:hint="eastAsia"/>
                      <w:color w:val="000000"/>
                      <w:kern w:val="0"/>
                      <w:szCs w:val="21"/>
                    </w:rPr>
                    <w:t>77</w:t>
                  </w:r>
                </w:p>
              </w:tc>
              <w:tc>
                <w:tcPr>
                  <w:tcW w:w="891" w:type="pct"/>
                  <w:tcBorders>
                    <w:top w:val="nil"/>
                    <w:left w:val="nil"/>
                    <w:bottom w:val="single" w:color="000000" w:sz="8" w:space="0"/>
                    <w:right w:val="single" w:color="000000" w:sz="8" w:space="0"/>
                  </w:tcBorders>
                  <w:vAlign w:val="center"/>
                </w:tcPr>
                <w:p>
                  <w:pPr>
                    <w:widowControl/>
                    <w:jc w:val="center"/>
                    <w:textAlignment w:val="center"/>
                    <w:rPr>
                      <w:color w:val="000000"/>
                      <w:kern w:val="0"/>
                      <w:szCs w:val="21"/>
                    </w:rPr>
                  </w:pPr>
                  <w:r>
                    <w:rPr>
                      <w:color w:val="000000"/>
                      <w:spacing w:val="4"/>
                    </w:rPr>
                    <w:t>0.</w:t>
                  </w:r>
                  <w:r>
                    <w:rPr>
                      <w:rFonts w:hint="eastAsia"/>
                      <w:color w:val="000000"/>
                      <w:spacing w:val="4"/>
                    </w:rPr>
                    <w:t>23</w:t>
                  </w:r>
                </w:p>
              </w:tc>
            </w:tr>
            <w:tr>
              <w:tblPrEx>
                <w:tblCellMar>
                  <w:top w:w="0" w:type="dxa"/>
                  <w:left w:w="108" w:type="dxa"/>
                  <w:bottom w:w="0" w:type="dxa"/>
                  <w:right w:w="108" w:type="dxa"/>
                </w:tblCellMar>
              </w:tblPrEx>
              <w:trPr>
                <w:trHeight w:val="300" w:hRule="atLeast"/>
              </w:trPr>
              <w:tc>
                <w:tcPr>
                  <w:tcW w:w="621" w:type="pct"/>
                  <w:vMerge w:val="continue"/>
                  <w:tcBorders>
                    <w:top w:val="nil"/>
                    <w:left w:val="single" w:color="000000" w:sz="8" w:space="0"/>
                    <w:bottom w:val="single" w:color="000000" w:sz="8" w:space="0"/>
                    <w:right w:val="single" w:color="000000" w:sz="8" w:space="0"/>
                  </w:tcBorders>
                  <w:vAlign w:val="center"/>
                </w:tcPr>
                <w:p>
                  <w:pPr>
                    <w:widowControl/>
                    <w:jc w:val="left"/>
                    <w:rPr>
                      <w:color w:val="000000"/>
                      <w:kern w:val="0"/>
                      <w:szCs w:val="21"/>
                    </w:rPr>
                  </w:pPr>
                </w:p>
              </w:tc>
              <w:tc>
                <w:tcPr>
                  <w:tcW w:w="715" w:type="pct"/>
                  <w:vMerge w:val="continue"/>
                  <w:tcBorders>
                    <w:top w:val="nil"/>
                    <w:left w:val="nil"/>
                    <w:bottom w:val="single" w:color="000000" w:sz="8" w:space="0"/>
                    <w:right w:val="single" w:color="000000" w:sz="8" w:space="0"/>
                  </w:tcBorders>
                  <w:vAlign w:val="center"/>
                </w:tcPr>
                <w:p>
                  <w:pPr>
                    <w:widowControl/>
                    <w:jc w:val="left"/>
                    <w:rPr>
                      <w:rFonts w:ascii="宋体" w:hAnsi="宋体" w:cs="宋体"/>
                      <w:color w:val="000000"/>
                      <w:kern w:val="0"/>
                      <w:szCs w:val="21"/>
                    </w:rPr>
                  </w:pPr>
                </w:p>
              </w:tc>
              <w:tc>
                <w:tcPr>
                  <w:tcW w:w="984" w:type="pct"/>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总磷</w:t>
                  </w:r>
                </w:p>
              </w:tc>
              <w:tc>
                <w:tcPr>
                  <w:tcW w:w="983" w:type="pct"/>
                  <w:tcBorders>
                    <w:top w:val="nil"/>
                    <w:left w:val="nil"/>
                    <w:bottom w:val="single" w:color="000000" w:sz="8" w:space="0"/>
                    <w:right w:val="single" w:color="000000" w:sz="8" w:space="0"/>
                  </w:tcBorders>
                  <w:vAlign w:val="center"/>
                </w:tcPr>
                <w:p>
                  <w:pPr>
                    <w:jc w:val="center"/>
                    <w:rPr>
                      <w:color w:val="000000"/>
                      <w:kern w:val="0"/>
                      <w:szCs w:val="21"/>
                    </w:rPr>
                  </w:pPr>
                  <w:r>
                    <w:rPr>
                      <w:rFonts w:hint="eastAsia"/>
                      <w:color w:val="000000"/>
                      <w:spacing w:val="4"/>
                    </w:rPr>
                    <w:t>8</w:t>
                  </w:r>
                </w:p>
              </w:tc>
              <w:tc>
                <w:tcPr>
                  <w:tcW w:w="804" w:type="pct"/>
                  <w:tcBorders>
                    <w:top w:val="nil"/>
                    <w:left w:val="nil"/>
                    <w:bottom w:val="single" w:color="000000" w:sz="8" w:space="0"/>
                    <w:right w:val="single" w:color="000000" w:sz="8" w:space="0"/>
                  </w:tcBorders>
                  <w:vAlign w:val="center"/>
                </w:tcPr>
                <w:p>
                  <w:pPr>
                    <w:widowControl/>
                    <w:jc w:val="center"/>
                    <w:rPr>
                      <w:color w:val="000000"/>
                      <w:kern w:val="0"/>
                      <w:szCs w:val="21"/>
                    </w:rPr>
                  </w:pPr>
                  <w:r>
                    <w:rPr>
                      <w:color w:val="000000"/>
                      <w:kern w:val="0"/>
                      <w:szCs w:val="21"/>
                    </w:rPr>
                    <w:t>0.000</w:t>
                  </w:r>
                  <w:r>
                    <w:rPr>
                      <w:rFonts w:hint="eastAsia"/>
                      <w:color w:val="000000"/>
                      <w:kern w:val="0"/>
                      <w:szCs w:val="21"/>
                    </w:rPr>
                    <w:t>13</w:t>
                  </w:r>
                </w:p>
              </w:tc>
              <w:tc>
                <w:tcPr>
                  <w:tcW w:w="891" w:type="pct"/>
                  <w:tcBorders>
                    <w:top w:val="nil"/>
                    <w:left w:val="nil"/>
                    <w:bottom w:val="single" w:color="000000" w:sz="8" w:space="0"/>
                    <w:right w:val="single" w:color="000000" w:sz="8" w:space="0"/>
                  </w:tcBorders>
                  <w:vAlign w:val="center"/>
                </w:tcPr>
                <w:p>
                  <w:pPr>
                    <w:widowControl/>
                    <w:jc w:val="center"/>
                    <w:textAlignment w:val="center"/>
                    <w:rPr>
                      <w:color w:val="000000"/>
                      <w:kern w:val="0"/>
                      <w:szCs w:val="21"/>
                    </w:rPr>
                  </w:pPr>
                  <w:r>
                    <w:rPr>
                      <w:color w:val="000000"/>
                      <w:spacing w:val="4"/>
                    </w:rPr>
                    <w:t>0.0</w:t>
                  </w:r>
                  <w:r>
                    <w:rPr>
                      <w:rFonts w:hint="eastAsia"/>
                      <w:color w:val="000000"/>
                      <w:spacing w:val="4"/>
                    </w:rPr>
                    <w:t>41</w:t>
                  </w:r>
                </w:p>
              </w:tc>
            </w:tr>
            <w:tr>
              <w:tblPrEx>
                <w:tblCellMar>
                  <w:top w:w="0" w:type="dxa"/>
                  <w:left w:w="108" w:type="dxa"/>
                  <w:bottom w:w="0" w:type="dxa"/>
                  <w:right w:w="108" w:type="dxa"/>
                </w:tblCellMar>
              </w:tblPrEx>
              <w:trPr>
                <w:trHeight w:val="300" w:hRule="atLeast"/>
              </w:trPr>
              <w:tc>
                <w:tcPr>
                  <w:tcW w:w="621" w:type="pct"/>
                  <w:vMerge w:val="continue"/>
                  <w:tcBorders>
                    <w:top w:val="nil"/>
                    <w:left w:val="single" w:color="000000" w:sz="8" w:space="0"/>
                    <w:bottom w:val="single" w:color="000000" w:sz="8" w:space="0"/>
                    <w:right w:val="single" w:color="000000" w:sz="8" w:space="0"/>
                  </w:tcBorders>
                  <w:vAlign w:val="center"/>
                </w:tcPr>
                <w:p>
                  <w:pPr>
                    <w:widowControl/>
                    <w:jc w:val="left"/>
                    <w:rPr>
                      <w:color w:val="000000"/>
                      <w:kern w:val="0"/>
                      <w:szCs w:val="21"/>
                    </w:rPr>
                  </w:pPr>
                </w:p>
              </w:tc>
              <w:tc>
                <w:tcPr>
                  <w:tcW w:w="715" w:type="pct"/>
                  <w:vMerge w:val="continue"/>
                  <w:tcBorders>
                    <w:top w:val="nil"/>
                    <w:left w:val="nil"/>
                    <w:bottom w:val="single" w:color="000000" w:sz="8" w:space="0"/>
                    <w:right w:val="single" w:color="000000" w:sz="8" w:space="0"/>
                  </w:tcBorders>
                  <w:vAlign w:val="center"/>
                </w:tcPr>
                <w:p>
                  <w:pPr>
                    <w:widowControl/>
                    <w:jc w:val="left"/>
                    <w:rPr>
                      <w:rFonts w:ascii="宋体" w:hAnsi="宋体" w:cs="宋体"/>
                      <w:color w:val="000000"/>
                      <w:kern w:val="0"/>
                      <w:szCs w:val="21"/>
                    </w:rPr>
                  </w:pPr>
                </w:p>
              </w:tc>
              <w:tc>
                <w:tcPr>
                  <w:tcW w:w="984" w:type="pct"/>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总氮</w:t>
                  </w:r>
                </w:p>
              </w:tc>
              <w:tc>
                <w:tcPr>
                  <w:tcW w:w="983" w:type="pct"/>
                  <w:tcBorders>
                    <w:top w:val="nil"/>
                    <w:left w:val="nil"/>
                    <w:bottom w:val="single" w:color="000000" w:sz="8" w:space="0"/>
                    <w:right w:val="single" w:color="000000" w:sz="8" w:space="0"/>
                  </w:tcBorders>
                  <w:vAlign w:val="center"/>
                </w:tcPr>
                <w:p>
                  <w:pPr>
                    <w:jc w:val="center"/>
                    <w:rPr>
                      <w:color w:val="000000"/>
                      <w:kern w:val="0"/>
                      <w:szCs w:val="21"/>
                    </w:rPr>
                  </w:pPr>
                  <w:r>
                    <w:rPr>
                      <w:rFonts w:hint="eastAsia"/>
                      <w:color w:val="000000"/>
                    </w:rPr>
                    <w:t>7</w:t>
                  </w:r>
                  <w:r>
                    <w:rPr>
                      <w:color w:val="000000"/>
                    </w:rPr>
                    <w:t>0</w:t>
                  </w:r>
                </w:p>
              </w:tc>
              <w:tc>
                <w:tcPr>
                  <w:tcW w:w="804" w:type="pct"/>
                  <w:tcBorders>
                    <w:top w:val="nil"/>
                    <w:left w:val="nil"/>
                    <w:bottom w:val="single" w:color="000000" w:sz="8" w:space="0"/>
                    <w:right w:val="single" w:color="000000" w:sz="8" w:space="0"/>
                  </w:tcBorders>
                  <w:vAlign w:val="center"/>
                </w:tcPr>
                <w:p>
                  <w:pPr>
                    <w:widowControl/>
                    <w:jc w:val="center"/>
                    <w:rPr>
                      <w:color w:val="000000"/>
                      <w:kern w:val="0"/>
                      <w:szCs w:val="21"/>
                    </w:rPr>
                  </w:pPr>
                  <w:r>
                    <w:rPr>
                      <w:color w:val="000000"/>
                      <w:kern w:val="0"/>
                      <w:szCs w:val="21"/>
                    </w:rPr>
                    <w:t>0.00</w:t>
                  </w:r>
                  <w:r>
                    <w:rPr>
                      <w:rFonts w:hint="eastAsia"/>
                      <w:color w:val="000000"/>
                      <w:kern w:val="0"/>
                      <w:szCs w:val="21"/>
                    </w:rPr>
                    <w:t>119</w:t>
                  </w:r>
                </w:p>
              </w:tc>
              <w:tc>
                <w:tcPr>
                  <w:tcW w:w="891" w:type="pct"/>
                  <w:tcBorders>
                    <w:top w:val="nil"/>
                    <w:left w:val="nil"/>
                    <w:bottom w:val="single" w:color="000000" w:sz="8" w:space="0"/>
                    <w:right w:val="single" w:color="000000" w:sz="8" w:space="0"/>
                  </w:tcBorders>
                  <w:vAlign w:val="center"/>
                </w:tcPr>
                <w:p>
                  <w:pPr>
                    <w:widowControl/>
                    <w:jc w:val="center"/>
                    <w:textAlignment w:val="center"/>
                    <w:rPr>
                      <w:color w:val="000000"/>
                      <w:kern w:val="0"/>
                      <w:szCs w:val="21"/>
                    </w:rPr>
                  </w:pPr>
                  <w:r>
                    <w:rPr>
                      <w:color w:val="000000"/>
                      <w:spacing w:val="4"/>
                    </w:rPr>
                    <w:t>0.</w:t>
                  </w:r>
                  <w:r>
                    <w:rPr>
                      <w:rFonts w:hint="eastAsia"/>
                      <w:color w:val="000000"/>
                      <w:spacing w:val="4"/>
                    </w:rPr>
                    <w:t>357</w:t>
                  </w:r>
                </w:p>
              </w:tc>
            </w:tr>
          </w:tbl>
          <w:p>
            <w:pPr>
              <w:tabs>
                <w:tab w:val="left" w:pos="0"/>
              </w:tabs>
              <w:spacing w:line="360" w:lineRule="auto"/>
              <w:ind w:firstLine="480" w:firstLineChars="200"/>
              <w:jc w:val="left"/>
              <w:rPr>
                <w:color w:val="000000"/>
                <w:sz w:val="24"/>
              </w:rPr>
            </w:pPr>
            <w:r>
              <w:rPr>
                <w:color w:val="000000"/>
                <w:sz w:val="24"/>
              </w:rPr>
              <w:t>（3）污染物达标排放</w:t>
            </w:r>
          </w:p>
          <w:p>
            <w:pPr>
              <w:tabs>
                <w:tab w:val="left" w:pos="0"/>
              </w:tabs>
              <w:spacing w:line="360" w:lineRule="auto"/>
              <w:ind w:firstLine="480" w:firstLineChars="200"/>
              <w:jc w:val="left"/>
              <w:rPr>
                <w:color w:val="000000"/>
                <w:sz w:val="24"/>
              </w:rPr>
            </w:pPr>
            <w:r>
              <w:rPr>
                <w:color w:val="000000"/>
                <w:sz w:val="24"/>
              </w:rPr>
              <w:t>本项目外排污水为生活废水，排放总量为</w:t>
            </w:r>
            <w:r>
              <w:rPr>
                <w:rFonts w:hint="eastAsia"/>
                <w:color w:val="000000"/>
                <w:sz w:val="24"/>
              </w:rPr>
              <w:t>5100</w:t>
            </w:r>
            <w:r>
              <w:rPr>
                <w:color w:val="000000"/>
                <w:sz w:val="24"/>
              </w:rPr>
              <w:t>t/a，主要污染因子为COD、SS、氨氮、总磷、总氮；本项目排往污水处理厂的废水水质各项指标均低于接管标准，因此以污水处理厂现有工艺完全能够对该废水进行处理并达标排放。</w:t>
            </w:r>
          </w:p>
          <w:p>
            <w:pPr>
              <w:snapToGrid w:val="0"/>
              <w:spacing w:before="60"/>
              <w:jc w:val="center"/>
              <w:rPr>
                <w:b/>
                <w:color w:val="000000"/>
                <w:sz w:val="24"/>
              </w:rPr>
            </w:pPr>
            <w:r>
              <w:rPr>
                <w:b/>
                <w:color w:val="000000"/>
                <w:sz w:val="24"/>
              </w:rPr>
              <w:t>表4-1</w:t>
            </w:r>
            <w:r>
              <w:rPr>
                <w:rFonts w:hint="eastAsia"/>
                <w:b/>
                <w:color w:val="000000"/>
                <w:sz w:val="24"/>
              </w:rPr>
              <w:t>8</w:t>
            </w:r>
            <w:r>
              <w:rPr>
                <w:b/>
                <w:color w:val="000000"/>
                <w:sz w:val="24"/>
              </w:rPr>
              <w:t xml:space="preserve"> 污水处理厂处理后排放浓度及排放量</w:t>
            </w:r>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6"/>
              <w:gridCol w:w="1122"/>
              <w:gridCol w:w="871"/>
              <w:gridCol w:w="1315"/>
              <w:gridCol w:w="1212"/>
              <w:gridCol w:w="36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511"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种类</w:t>
                  </w:r>
                </w:p>
              </w:tc>
              <w:tc>
                <w:tcPr>
                  <w:tcW w:w="619"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废水量（t/a）</w:t>
                  </w:r>
                </w:p>
              </w:tc>
              <w:tc>
                <w:tcPr>
                  <w:tcW w:w="480"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污染物</w:t>
                  </w:r>
                </w:p>
              </w:tc>
              <w:tc>
                <w:tcPr>
                  <w:tcW w:w="725"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排放浓度（mg/L）</w:t>
                  </w:r>
                </w:p>
              </w:tc>
              <w:tc>
                <w:tcPr>
                  <w:tcW w:w="667"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排放量（t/a）</w:t>
                  </w:r>
                </w:p>
              </w:tc>
              <w:tc>
                <w:tcPr>
                  <w:tcW w:w="1995" w:type="pct"/>
                  <w:vAlign w:val="center"/>
                </w:tcPr>
                <w:p>
                  <w:pPr>
                    <w:tabs>
                      <w:tab w:val="left" w:pos="0"/>
                    </w:tabs>
                    <w:adjustRightInd w:val="0"/>
                    <w:snapToGrid w:val="0"/>
                    <w:jc w:val="center"/>
                    <w:textAlignment w:val="baseline"/>
                    <w:rPr>
                      <w:b/>
                      <w:color w:val="000000"/>
                      <w:spacing w:val="4"/>
                      <w:szCs w:val="22"/>
                    </w:rPr>
                  </w:pPr>
                  <w:r>
                    <w:rPr>
                      <w:b/>
                      <w:color w:val="000000"/>
                      <w:spacing w:val="4"/>
                      <w:szCs w:val="22"/>
                    </w:rPr>
                    <w:t>排放标准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3" w:hRule="atLeast"/>
                <w:jc w:val="center"/>
              </w:trPr>
              <w:tc>
                <w:tcPr>
                  <w:tcW w:w="511" w:type="pct"/>
                  <w:vMerge w:val="restart"/>
                  <w:vAlign w:val="center"/>
                </w:tcPr>
                <w:p>
                  <w:pPr>
                    <w:tabs>
                      <w:tab w:val="left" w:pos="0"/>
                    </w:tabs>
                    <w:adjustRightInd w:val="0"/>
                    <w:snapToGrid w:val="0"/>
                    <w:jc w:val="center"/>
                    <w:textAlignment w:val="baseline"/>
                    <w:rPr>
                      <w:bCs/>
                      <w:color w:val="000000"/>
                      <w:spacing w:val="4"/>
                      <w:szCs w:val="22"/>
                    </w:rPr>
                  </w:pPr>
                  <w:r>
                    <w:rPr>
                      <w:rFonts w:hint="eastAsia"/>
                      <w:bCs/>
                      <w:color w:val="000000"/>
                      <w:spacing w:val="4"/>
                      <w:szCs w:val="22"/>
                    </w:rPr>
                    <w:t>生活污水</w:t>
                  </w:r>
                </w:p>
              </w:tc>
              <w:tc>
                <w:tcPr>
                  <w:tcW w:w="619" w:type="pct"/>
                  <w:vMerge w:val="restart"/>
                  <w:vAlign w:val="center"/>
                </w:tcPr>
                <w:p>
                  <w:pPr>
                    <w:tabs>
                      <w:tab w:val="left" w:pos="0"/>
                    </w:tabs>
                    <w:adjustRightInd w:val="0"/>
                    <w:snapToGrid w:val="0"/>
                    <w:jc w:val="center"/>
                    <w:textAlignment w:val="baseline"/>
                    <w:rPr>
                      <w:bCs/>
                      <w:color w:val="000000"/>
                      <w:spacing w:val="4"/>
                      <w:szCs w:val="22"/>
                    </w:rPr>
                  </w:pPr>
                  <w:r>
                    <w:rPr>
                      <w:rFonts w:hint="eastAsia"/>
                      <w:bCs/>
                      <w:color w:val="000000"/>
                      <w:spacing w:val="4"/>
                      <w:szCs w:val="22"/>
                    </w:rPr>
                    <w:t>5100</w:t>
                  </w:r>
                </w:p>
              </w:tc>
              <w:tc>
                <w:tcPr>
                  <w:tcW w:w="480"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pH</w:t>
                  </w:r>
                </w:p>
              </w:tc>
              <w:tc>
                <w:tcPr>
                  <w:tcW w:w="1393" w:type="pct"/>
                  <w:gridSpan w:val="2"/>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6-9（无量纲）</w:t>
                  </w:r>
                </w:p>
              </w:tc>
              <w:tc>
                <w:tcPr>
                  <w:tcW w:w="1995" w:type="pct"/>
                  <w:vMerge w:val="restart"/>
                  <w:vAlign w:val="center"/>
                </w:tcPr>
                <w:p>
                  <w:pPr>
                    <w:tabs>
                      <w:tab w:val="left" w:pos="0"/>
                    </w:tabs>
                    <w:adjustRightInd w:val="0"/>
                    <w:snapToGrid w:val="0"/>
                    <w:jc w:val="center"/>
                    <w:textAlignment w:val="baseline"/>
                    <w:rPr>
                      <w:bCs/>
                      <w:color w:val="000000"/>
                      <w:spacing w:val="4"/>
                      <w:szCs w:val="22"/>
                    </w:rPr>
                  </w:pPr>
                  <w:r>
                    <w:rPr>
                      <w:color w:val="000000"/>
                      <w:spacing w:val="4"/>
                      <w:kern w:val="0"/>
                      <w:szCs w:val="20"/>
                    </w:rPr>
                    <w:t>《关于高质量推进城乡生活污水治理三年行动计划的实施意见》的通知（苏委办发〔2018〕77号）中的“苏州特别排放限值”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511" w:type="pct"/>
                  <w:vMerge w:val="continue"/>
                  <w:vAlign w:val="center"/>
                </w:tcPr>
                <w:p>
                  <w:pPr>
                    <w:tabs>
                      <w:tab w:val="left" w:pos="0"/>
                    </w:tabs>
                    <w:adjustRightInd w:val="0"/>
                    <w:snapToGrid w:val="0"/>
                    <w:jc w:val="center"/>
                    <w:textAlignment w:val="baseline"/>
                    <w:rPr>
                      <w:bCs/>
                      <w:color w:val="000000"/>
                      <w:spacing w:val="4"/>
                      <w:szCs w:val="22"/>
                    </w:rPr>
                  </w:pPr>
                </w:p>
              </w:tc>
              <w:tc>
                <w:tcPr>
                  <w:tcW w:w="619" w:type="pct"/>
                  <w:vMerge w:val="continue"/>
                  <w:vAlign w:val="center"/>
                </w:tcPr>
                <w:p>
                  <w:pPr>
                    <w:tabs>
                      <w:tab w:val="left" w:pos="0"/>
                    </w:tabs>
                    <w:adjustRightInd w:val="0"/>
                    <w:snapToGrid w:val="0"/>
                    <w:jc w:val="center"/>
                    <w:textAlignment w:val="baseline"/>
                    <w:rPr>
                      <w:bCs/>
                      <w:color w:val="000000"/>
                      <w:spacing w:val="4"/>
                      <w:szCs w:val="22"/>
                    </w:rPr>
                  </w:pPr>
                </w:p>
              </w:tc>
              <w:tc>
                <w:tcPr>
                  <w:tcW w:w="480"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COD</w:t>
                  </w:r>
                </w:p>
              </w:tc>
              <w:tc>
                <w:tcPr>
                  <w:tcW w:w="725" w:type="pct"/>
                  <w:vAlign w:val="center"/>
                </w:tcPr>
                <w:p>
                  <w:pPr>
                    <w:pStyle w:val="38"/>
                    <w:spacing w:before="24" w:after="24" w:line="240" w:lineRule="auto"/>
                    <w:ind w:firstLine="0"/>
                    <w:rPr>
                      <w:rFonts w:ascii="Times New Roman" w:eastAsia="宋体"/>
                      <w:bCs/>
                      <w:color w:val="000000"/>
                      <w:spacing w:val="4"/>
                      <w:kern w:val="2"/>
                      <w:szCs w:val="22"/>
                    </w:rPr>
                  </w:pPr>
                  <w:r>
                    <w:rPr>
                      <w:rFonts w:ascii="Times New Roman" w:eastAsia="宋体"/>
                      <w:color w:val="000000"/>
                    </w:rPr>
                    <w:t>30</w:t>
                  </w:r>
                </w:p>
              </w:tc>
              <w:tc>
                <w:tcPr>
                  <w:tcW w:w="667"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0.</w:t>
                  </w:r>
                  <w:r>
                    <w:rPr>
                      <w:rFonts w:hint="eastAsia"/>
                      <w:bCs/>
                      <w:color w:val="000000"/>
                      <w:spacing w:val="4"/>
                      <w:szCs w:val="22"/>
                    </w:rPr>
                    <w:t>153</w:t>
                  </w:r>
                </w:p>
              </w:tc>
              <w:tc>
                <w:tcPr>
                  <w:tcW w:w="1995" w:type="pct"/>
                  <w:vMerge w:val="continue"/>
                  <w:vAlign w:val="center"/>
                </w:tcPr>
                <w:p>
                  <w:pPr>
                    <w:tabs>
                      <w:tab w:val="left" w:pos="0"/>
                    </w:tabs>
                    <w:adjustRightInd w:val="0"/>
                    <w:snapToGrid w:val="0"/>
                    <w:jc w:val="center"/>
                    <w:textAlignment w:val="baseline"/>
                    <w:rPr>
                      <w:bCs/>
                      <w:color w:val="000000"/>
                      <w:spacing w:val="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3" w:hRule="atLeast"/>
                <w:jc w:val="center"/>
              </w:trPr>
              <w:tc>
                <w:tcPr>
                  <w:tcW w:w="511" w:type="pct"/>
                  <w:vMerge w:val="continue"/>
                  <w:vAlign w:val="center"/>
                </w:tcPr>
                <w:p>
                  <w:pPr>
                    <w:tabs>
                      <w:tab w:val="left" w:pos="0"/>
                    </w:tabs>
                    <w:adjustRightInd w:val="0"/>
                    <w:snapToGrid w:val="0"/>
                    <w:jc w:val="center"/>
                    <w:textAlignment w:val="baseline"/>
                    <w:rPr>
                      <w:bCs/>
                      <w:color w:val="000000"/>
                      <w:spacing w:val="4"/>
                      <w:szCs w:val="22"/>
                    </w:rPr>
                  </w:pPr>
                </w:p>
              </w:tc>
              <w:tc>
                <w:tcPr>
                  <w:tcW w:w="619" w:type="pct"/>
                  <w:vMerge w:val="continue"/>
                  <w:vAlign w:val="center"/>
                </w:tcPr>
                <w:p>
                  <w:pPr>
                    <w:tabs>
                      <w:tab w:val="left" w:pos="0"/>
                    </w:tabs>
                    <w:adjustRightInd w:val="0"/>
                    <w:snapToGrid w:val="0"/>
                    <w:jc w:val="center"/>
                    <w:textAlignment w:val="baseline"/>
                    <w:rPr>
                      <w:bCs/>
                      <w:color w:val="000000"/>
                      <w:spacing w:val="4"/>
                      <w:szCs w:val="22"/>
                    </w:rPr>
                  </w:pPr>
                </w:p>
              </w:tc>
              <w:tc>
                <w:tcPr>
                  <w:tcW w:w="480"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氨氮</w:t>
                  </w:r>
                </w:p>
              </w:tc>
              <w:tc>
                <w:tcPr>
                  <w:tcW w:w="725" w:type="pct"/>
                  <w:vAlign w:val="center"/>
                </w:tcPr>
                <w:p>
                  <w:pPr>
                    <w:pStyle w:val="38"/>
                    <w:spacing w:before="24" w:after="24" w:line="240" w:lineRule="auto"/>
                    <w:ind w:firstLine="0"/>
                    <w:rPr>
                      <w:rFonts w:ascii="Times New Roman" w:eastAsia="宋体"/>
                      <w:bCs/>
                      <w:color w:val="000000"/>
                      <w:spacing w:val="4"/>
                      <w:kern w:val="2"/>
                      <w:szCs w:val="22"/>
                    </w:rPr>
                  </w:pPr>
                  <w:r>
                    <w:rPr>
                      <w:rFonts w:ascii="Times New Roman" w:eastAsia="宋体"/>
                      <w:color w:val="000000"/>
                    </w:rPr>
                    <w:t>1.5</w:t>
                  </w:r>
                </w:p>
              </w:tc>
              <w:tc>
                <w:tcPr>
                  <w:tcW w:w="667"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0.</w:t>
                  </w:r>
                  <w:r>
                    <w:rPr>
                      <w:rFonts w:hint="eastAsia"/>
                      <w:bCs/>
                      <w:color w:val="000000"/>
                      <w:spacing w:val="4"/>
                      <w:szCs w:val="22"/>
                    </w:rPr>
                    <w:t>0</w:t>
                  </w:r>
                  <w:r>
                    <w:rPr>
                      <w:bCs/>
                      <w:color w:val="000000"/>
                      <w:spacing w:val="4"/>
                      <w:szCs w:val="22"/>
                    </w:rPr>
                    <w:t>0</w:t>
                  </w:r>
                  <w:r>
                    <w:rPr>
                      <w:rFonts w:hint="eastAsia"/>
                      <w:bCs/>
                      <w:color w:val="000000"/>
                      <w:spacing w:val="4"/>
                      <w:szCs w:val="22"/>
                    </w:rPr>
                    <w:t>765</w:t>
                  </w:r>
                </w:p>
              </w:tc>
              <w:tc>
                <w:tcPr>
                  <w:tcW w:w="1995" w:type="pct"/>
                  <w:vMerge w:val="continue"/>
                  <w:vAlign w:val="center"/>
                </w:tcPr>
                <w:p>
                  <w:pPr>
                    <w:tabs>
                      <w:tab w:val="left" w:pos="0"/>
                    </w:tabs>
                    <w:adjustRightInd w:val="0"/>
                    <w:snapToGrid w:val="0"/>
                    <w:jc w:val="center"/>
                    <w:textAlignment w:val="baseline"/>
                    <w:rPr>
                      <w:bCs/>
                      <w:color w:val="000000"/>
                      <w:spacing w:val="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5" w:hRule="atLeast"/>
                <w:jc w:val="center"/>
              </w:trPr>
              <w:tc>
                <w:tcPr>
                  <w:tcW w:w="511" w:type="pct"/>
                  <w:vMerge w:val="continue"/>
                  <w:vAlign w:val="center"/>
                </w:tcPr>
                <w:p>
                  <w:pPr>
                    <w:tabs>
                      <w:tab w:val="left" w:pos="0"/>
                    </w:tabs>
                    <w:adjustRightInd w:val="0"/>
                    <w:snapToGrid w:val="0"/>
                    <w:jc w:val="center"/>
                    <w:textAlignment w:val="baseline"/>
                    <w:rPr>
                      <w:bCs/>
                      <w:color w:val="000000"/>
                      <w:spacing w:val="4"/>
                      <w:szCs w:val="22"/>
                    </w:rPr>
                  </w:pPr>
                </w:p>
              </w:tc>
              <w:tc>
                <w:tcPr>
                  <w:tcW w:w="619" w:type="pct"/>
                  <w:vMerge w:val="continue"/>
                  <w:vAlign w:val="center"/>
                </w:tcPr>
                <w:p>
                  <w:pPr>
                    <w:tabs>
                      <w:tab w:val="left" w:pos="0"/>
                    </w:tabs>
                    <w:adjustRightInd w:val="0"/>
                    <w:snapToGrid w:val="0"/>
                    <w:jc w:val="center"/>
                    <w:textAlignment w:val="baseline"/>
                    <w:rPr>
                      <w:bCs/>
                      <w:color w:val="000000"/>
                      <w:spacing w:val="4"/>
                      <w:szCs w:val="22"/>
                    </w:rPr>
                  </w:pPr>
                </w:p>
              </w:tc>
              <w:tc>
                <w:tcPr>
                  <w:tcW w:w="480"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总磷</w:t>
                  </w:r>
                </w:p>
              </w:tc>
              <w:tc>
                <w:tcPr>
                  <w:tcW w:w="725" w:type="pct"/>
                  <w:vAlign w:val="center"/>
                </w:tcPr>
                <w:p>
                  <w:pPr>
                    <w:pStyle w:val="38"/>
                    <w:spacing w:before="24" w:after="24" w:line="240" w:lineRule="auto"/>
                    <w:ind w:firstLine="0"/>
                    <w:rPr>
                      <w:rFonts w:ascii="Times New Roman" w:eastAsia="宋体"/>
                      <w:bCs/>
                      <w:color w:val="000000"/>
                      <w:spacing w:val="4"/>
                      <w:kern w:val="2"/>
                      <w:szCs w:val="22"/>
                    </w:rPr>
                  </w:pPr>
                  <w:r>
                    <w:rPr>
                      <w:rFonts w:ascii="Times New Roman"/>
                      <w:color w:val="000000"/>
                      <w:spacing w:val="4"/>
                    </w:rPr>
                    <w:t>0.3</w:t>
                  </w:r>
                </w:p>
              </w:tc>
              <w:tc>
                <w:tcPr>
                  <w:tcW w:w="667"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0.00</w:t>
                  </w:r>
                  <w:r>
                    <w:rPr>
                      <w:rFonts w:hint="eastAsia"/>
                      <w:bCs/>
                      <w:color w:val="000000"/>
                      <w:spacing w:val="4"/>
                      <w:szCs w:val="22"/>
                    </w:rPr>
                    <w:t>153</w:t>
                  </w:r>
                </w:p>
              </w:tc>
              <w:tc>
                <w:tcPr>
                  <w:tcW w:w="1995" w:type="pct"/>
                  <w:vMerge w:val="continue"/>
                  <w:vAlign w:val="center"/>
                </w:tcPr>
                <w:p>
                  <w:pPr>
                    <w:tabs>
                      <w:tab w:val="left" w:pos="0"/>
                    </w:tabs>
                    <w:adjustRightInd w:val="0"/>
                    <w:snapToGrid w:val="0"/>
                    <w:jc w:val="center"/>
                    <w:textAlignment w:val="baseline"/>
                    <w:rPr>
                      <w:bCs/>
                      <w:color w:val="000000"/>
                      <w:spacing w:val="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5" w:hRule="atLeast"/>
                <w:jc w:val="center"/>
              </w:trPr>
              <w:tc>
                <w:tcPr>
                  <w:tcW w:w="511" w:type="pct"/>
                  <w:vMerge w:val="continue"/>
                  <w:vAlign w:val="center"/>
                </w:tcPr>
                <w:p>
                  <w:pPr>
                    <w:tabs>
                      <w:tab w:val="left" w:pos="0"/>
                    </w:tabs>
                    <w:adjustRightInd w:val="0"/>
                    <w:snapToGrid w:val="0"/>
                    <w:jc w:val="center"/>
                    <w:textAlignment w:val="baseline"/>
                    <w:rPr>
                      <w:bCs/>
                      <w:color w:val="000000"/>
                      <w:spacing w:val="4"/>
                      <w:szCs w:val="22"/>
                    </w:rPr>
                  </w:pPr>
                </w:p>
              </w:tc>
              <w:tc>
                <w:tcPr>
                  <w:tcW w:w="619" w:type="pct"/>
                  <w:vMerge w:val="continue"/>
                  <w:vAlign w:val="center"/>
                </w:tcPr>
                <w:p>
                  <w:pPr>
                    <w:tabs>
                      <w:tab w:val="left" w:pos="0"/>
                    </w:tabs>
                    <w:adjustRightInd w:val="0"/>
                    <w:snapToGrid w:val="0"/>
                    <w:jc w:val="center"/>
                    <w:textAlignment w:val="baseline"/>
                    <w:rPr>
                      <w:bCs/>
                      <w:color w:val="000000"/>
                      <w:spacing w:val="4"/>
                      <w:szCs w:val="22"/>
                    </w:rPr>
                  </w:pPr>
                </w:p>
              </w:tc>
              <w:tc>
                <w:tcPr>
                  <w:tcW w:w="480"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总氮</w:t>
                  </w:r>
                </w:p>
              </w:tc>
              <w:tc>
                <w:tcPr>
                  <w:tcW w:w="72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10</w:t>
                  </w:r>
                </w:p>
              </w:tc>
              <w:tc>
                <w:tcPr>
                  <w:tcW w:w="667"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0.0</w:t>
                  </w:r>
                  <w:r>
                    <w:rPr>
                      <w:rFonts w:hint="eastAsia"/>
                      <w:bCs/>
                      <w:color w:val="000000"/>
                      <w:spacing w:val="4"/>
                      <w:szCs w:val="22"/>
                    </w:rPr>
                    <w:t>51</w:t>
                  </w:r>
                </w:p>
              </w:tc>
              <w:tc>
                <w:tcPr>
                  <w:tcW w:w="1995" w:type="pct"/>
                  <w:vMerge w:val="continue"/>
                  <w:vAlign w:val="center"/>
                </w:tcPr>
                <w:p>
                  <w:pPr>
                    <w:tabs>
                      <w:tab w:val="left" w:pos="0"/>
                    </w:tabs>
                    <w:adjustRightInd w:val="0"/>
                    <w:snapToGrid w:val="0"/>
                    <w:jc w:val="center"/>
                    <w:textAlignment w:val="baseline"/>
                    <w:rPr>
                      <w:bCs/>
                      <w:color w:val="000000"/>
                      <w:spacing w:val="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jc w:val="center"/>
              </w:trPr>
              <w:tc>
                <w:tcPr>
                  <w:tcW w:w="511" w:type="pct"/>
                  <w:vMerge w:val="continue"/>
                  <w:vAlign w:val="center"/>
                </w:tcPr>
                <w:p>
                  <w:pPr>
                    <w:tabs>
                      <w:tab w:val="left" w:pos="0"/>
                    </w:tabs>
                    <w:adjustRightInd w:val="0"/>
                    <w:snapToGrid w:val="0"/>
                    <w:jc w:val="center"/>
                    <w:textAlignment w:val="baseline"/>
                    <w:rPr>
                      <w:bCs/>
                      <w:color w:val="000000"/>
                      <w:spacing w:val="4"/>
                      <w:szCs w:val="22"/>
                    </w:rPr>
                  </w:pPr>
                </w:p>
              </w:tc>
              <w:tc>
                <w:tcPr>
                  <w:tcW w:w="619" w:type="pct"/>
                  <w:vMerge w:val="continue"/>
                  <w:vAlign w:val="center"/>
                </w:tcPr>
                <w:p>
                  <w:pPr>
                    <w:tabs>
                      <w:tab w:val="left" w:pos="0"/>
                    </w:tabs>
                    <w:adjustRightInd w:val="0"/>
                    <w:snapToGrid w:val="0"/>
                    <w:jc w:val="center"/>
                    <w:textAlignment w:val="baseline"/>
                    <w:rPr>
                      <w:bCs/>
                      <w:color w:val="000000"/>
                      <w:spacing w:val="4"/>
                      <w:szCs w:val="22"/>
                    </w:rPr>
                  </w:pPr>
                </w:p>
              </w:tc>
              <w:tc>
                <w:tcPr>
                  <w:tcW w:w="480"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SS</w:t>
                  </w:r>
                </w:p>
              </w:tc>
              <w:tc>
                <w:tcPr>
                  <w:tcW w:w="72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10</w:t>
                  </w:r>
                </w:p>
              </w:tc>
              <w:tc>
                <w:tcPr>
                  <w:tcW w:w="667"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0.0</w:t>
                  </w:r>
                  <w:r>
                    <w:rPr>
                      <w:rFonts w:hint="eastAsia"/>
                      <w:bCs/>
                      <w:color w:val="000000"/>
                      <w:spacing w:val="4"/>
                      <w:szCs w:val="22"/>
                    </w:rPr>
                    <w:t>51</w:t>
                  </w:r>
                </w:p>
              </w:tc>
              <w:tc>
                <w:tcPr>
                  <w:tcW w:w="1995" w:type="pct"/>
                  <w:vAlign w:val="center"/>
                </w:tcPr>
                <w:p>
                  <w:pPr>
                    <w:tabs>
                      <w:tab w:val="left" w:pos="0"/>
                    </w:tabs>
                    <w:adjustRightInd w:val="0"/>
                    <w:snapToGrid w:val="0"/>
                    <w:jc w:val="center"/>
                    <w:textAlignment w:val="baseline"/>
                    <w:rPr>
                      <w:bCs/>
                      <w:color w:val="000000"/>
                      <w:spacing w:val="4"/>
                      <w:szCs w:val="22"/>
                    </w:rPr>
                  </w:pPr>
                  <w:r>
                    <w:rPr>
                      <w:bCs/>
                      <w:color w:val="000000"/>
                      <w:spacing w:val="4"/>
                      <w:szCs w:val="22"/>
                    </w:rPr>
                    <w:t>《城镇污水处理厂污染物排放标准》（GB18918－2002）中表1一级A标准</w:t>
                  </w:r>
                </w:p>
              </w:tc>
            </w:tr>
          </w:tbl>
          <w:p>
            <w:pPr>
              <w:spacing w:line="360" w:lineRule="auto"/>
              <w:ind w:firstLine="480" w:firstLineChars="200"/>
              <w:rPr>
                <w:b/>
                <w:bCs/>
                <w:color w:val="000000"/>
                <w:spacing w:val="4"/>
                <w:sz w:val="24"/>
              </w:rPr>
            </w:pPr>
            <w:r>
              <w:rPr>
                <w:color w:val="000000"/>
                <w:sz w:val="24"/>
              </w:rPr>
              <w:t>项目废水经污水厂处理达《城镇污水处理厂污染物排放标准》（GB18918-2002）一级A标准及《关于高质量推进城乡生活污水治理三年行动计划的实施意见》的通知（苏委办发〔2018〕77号）中的“苏州特别排放限值”后排入</w:t>
            </w:r>
            <w:r>
              <w:rPr>
                <w:rFonts w:hint="eastAsia"/>
                <w:color w:val="000000"/>
                <w:sz w:val="24"/>
              </w:rPr>
              <w:t>浒光运河</w:t>
            </w:r>
            <w:r>
              <w:rPr>
                <w:color w:val="000000"/>
                <w:sz w:val="24"/>
              </w:rPr>
              <w:t>，预计对纳污水体水质影响较小</w:t>
            </w:r>
            <w:r>
              <w:rPr>
                <w:rFonts w:hint="eastAsia"/>
                <w:color w:val="000000"/>
                <w:sz w:val="24"/>
              </w:rPr>
              <w:t>。</w:t>
            </w:r>
          </w:p>
          <w:p>
            <w:pPr>
              <w:spacing w:line="360" w:lineRule="auto"/>
              <w:rPr>
                <w:b/>
                <w:color w:val="000000"/>
                <w:sz w:val="24"/>
              </w:rPr>
            </w:pPr>
            <w:r>
              <w:rPr>
                <w:b/>
                <w:bCs/>
                <w:color w:val="000000"/>
                <w:spacing w:val="4"/>
                <w:sz w:val="24"/>
              </w:rPr>
              <w:t>4.2.2</w:t>
            </w:r>
            <w:r>
              <w:rPr>
                <w:b/>
                <w:bCs/>
                <w:color w:val="000000"/>
                <w:sz w:val="24"/>
              </w:rPr>
              <w:t>废</w:t>
            </w:r>
            <w:r>
              <w:rPr>
                <w:b/>
                <w:color w:val="000000"/>
                <w:sz w:val="24"/>
              </w:rPr>
              <w:t>水污染防治措施可行性分析</w:t>
            </w:r>
          </w:p>
          <w:p>
            <w:pPr>
              <w:spacing w:line="360" w:lineRule="auto"/>
              <w:ind w:firstLine="482" w:firstLineChars="200"/>
              <w:jc w:val="left"/>
              <w:rPr>
                <w:b/>
                <w:bCs/>
                <w:color w:val="000000"/>
                <w:sz w:val="24"/>
              </w:rPr>
            </w:pPr>
            <w:r>
              <w:rPr>
                <w:rFonts w:hint="eastAsia"/>
                <w:b/>
                <w:bCs/>
                <w:color w:val="000000"/>
                <w:sz w:val="24"/>
              </w:rPr>
              <w:t>科技城水质净化厂</w:t>
            </w:r>
            <w:r>
              <w:rPr>
                <w:b/>
                <w:bCs/>
                <w:color w:val="000000"/>
                <w:sz w:val="24"/>
              </w:rPr>
              <w:t>接管可行性分析：</w:t>
            </w:r>
          </w:p>
          <w:p>
            <w:pPr>
              <w:pStyle w:val="68"/>
              <w:ind w:firstLine="480"/>
              <w:rPr>
                <w:color w:val="000000"/>
                <w:szCs w:val="24"/>
              </w:rPr>
            </w:pPr>
            <w:r>
              <w:rPr>
                <w:color w:val="000000"/>
                <w:szCs w:val="24"/>
              </w:rPr>
              <w:t>苏州高新区</w:t>
            </w:r>
            <w:r>
              <w:rPr>
                <w:rFonts w:hint="eastAsia"/>
                <w:color w:val="000000"/>
                <w:szCs w:val="24"/>
              </w:rPr>
              <w:t>科技城水质净化厂</w:t>
            </w:r>
            <w:r>
              <w:rPr>
                <w:color w:val="000000"/>
                <w:szCs w:val="24"/>
              </w:rPr>
              <w:t>：位于联港路与塘西路交叉口东南角，服务于包括出口加工区等浒通片区运河以西地区，面积约为40km</w:t>
            </w:r>
            <w:r>
              <w:rPr>
                <w:color w:val="000000"/>
                <w:szCs w:val="24"/>
                <w:vertAlign w:val="superscript"/>
              </w:rPr>
              <w:t>2</w:t>
            </w:r>
            <w:r>
              <w:rPr>
                <w:color w:val="000000"/>
                <w:szCs w:val="24"/>
              </w:rPr>
              <w:t>。一期工程4万吨/日，远期总规模12万吨/日。</w:t>
            </w:r>
          </w:p>
          <w:p>
            <w:pPr>
              <w:pStyle w:val="68"/>
              <w:ind w:firstLine="480"/>
              <w:rPr>
                <w:color w:val="000000"/>
                <w:szCs w:val="24"/>
              </w:rPr>
            </w:pPr>
            <w:r>
              <w:rPr>
                <w:color w:val="000000"/>
                <w:szCs w:val="24"/>
              </w:rPr>
              <w:fldChar w:fldCharType="begin"/>
            </w:r>
            <w:r>
              <w:rPr>
                <w:color w:val="000000"/>
                <w:szCs w:val="24"/>
              </w:rPr>
              <w:instrText xml:space="preserve"> = 1 \* GB3 </w:instrText>
            </w:r>
            <w:r>
              <w:rPr>
                <w:color w:val="000000"/>
                <w:szCs w:val="24"/>
              </w:rPr>
              <w:fldChar w:fldCharType="separate"/>
            </w:r>
            <w:r>
              <w:rPr>
                <w:color w:val="000000"/>
                <w:szCs w:val="24"/>
              </w:rPr>
              <w:t>①</w:t>
            </w:r>
            <w:r>
              <w:rPr>
                <w:color w:val="000000"/>
                <w:szCs w:val="24"/>
              </w:rPr>
              <w:fldChar w:fldCharType="end"/>
            </w:r>
            <w:r>
              <w:rPr>
                <w:color w:val="000000"/>
                <w:szCs w:val="24"/>
              </w:rPr>
              <w:t>从时间上：本项目预投产期为2022年8月，而此时苏州高新区</w:t>
            </w:r>
            <w:r>
              <w:rPr>
                <w:rFonts w:hint="eastAsia"/>
                <w:color w:val="000000"/>
                <w:szCs w:val="24"/>
              </w:rPr>
              <w:t>科技城水质净化厂</w:t>
            </w:r>
            <w:r>
              <w:rPr>
                <w:color w:val="000000"/>
                <w:szCs w:val="24"/>
              </w:rPr>
              <w:t>已投入使用，可见从时间上是可行的。</w:t>
            </w:r>
          </w:p>
          <w:p>
            <w:pPr>
              <w:pStyle w:val="68"/>
              <w:ind w:firstLine="480"/>
              <w:rPr>
                <w:color w:val="000000"/>
                <w:szCs w:val="24"/>
              </w:rPr>
            </w:pPr>
            <w:r>
              <w:rPr>
                <w:color w:val="000000"/>
                <w:szCs w:val="24"/>
              </w:rPr>
              <w:t>②从空间上：本项目位于苏州高新区</w:t>
            </w:r>
            <w:r>
              <w:rPr>
                <w:rFonts w:hint="eastAsia"/>
                <w:color w:val="000000"/>
                <w:szCs w:val="24"/>
              </w:rPr>
              <w:t>东渚街道金沙江路158号</w:t>
            </w:r>
            <w:r>
              <w:rPr>
                <w:color w:val="000000"/>
                <w:szCs w:val="24"/>
              </w:rPr>
              <w:t>，属于苏州高新</w:t>
            </w:r>
            <w:r>
              <w:rPr>
                <w:rFonts w:hint="eastAsia"/>
                <w:color w:val="000000"/>
                <w:szCs w:val="24"/>
              </w:rPr>
              <w:t>科技城水质净化厂</w:t>
            </w:r>
            <w:r>
              <w:rPr>
                <w:color w:val="000000"/>
                <w:szCs w:val="24"/>
              </w:rPr>
              <w:t>服务范围。目前该区域管道铺设已经全部完成，本项目所在地的管网完善，完全可将项目废水排入污水厂处理。</w:t>
            </w:r>
          </w:p>
          <w:p>
            <w:pPr>
              <w:spacing w:line="360" w:lineRule="auto"/>
              <w:ind w:firstLine="480" w:firstLineChars="200"/>
              <w:jc w:val="left"/>
              <w:rPr>
                <w:color w:val="000000"/>
                <w:sz w:val="24"/>
              </w:rPr>
            </w:pPr>
            <w:r>
              <w:rPr>
                <w:color w:val="000000"/>
                <w:sz w:val="24"/>
              </w:rPr>
              <w:t>③从水质、水量上：苏州高新区</w:t>
            </w:r>
            <w:r>
              <w:rPr>
                <w:rFonts w:hint="eastAsia"/>
                <w:color w:val="000000"/>
                <w:sz w:val="24"/>
              </w:rPr>
              <w:t>科技城水质净化厂</w:t>
            </w:r>
            <w:r>
              <w:rPr>
                <w:color w:val="000000"/>
                <w:sz w:val="24"/>
              </w:rPr>
              <w:t>接纳污水包含生活污水及</w:t>
            </w:r>
            <w:r>
              <w:rPr>
                <w:rFonts w:hint="eastAsia"/>
                <w:color w:val="000000"/>
                <w:sz w:val="24"/>
              </w:rPr>
              <w:t>生产</w:t>
            </w:r>
            <w:r>
              <w:rPr>
                <w:color w:val="000000"/>
                <w:sz w:val="24"/>
              </w:rPr>
              <w:t>废水，其中工业废水占比约60%，主要来自于精密机械、电子、医药制造等企业，污水厂主体工艺采用“CAST工艺+混合池+转盘过滤+紫外消毒”。现白荡污水厂处理负荷量约为总处理量的70%，处理余量为3.6万吨/日，根据工程分析，本项目废水排放量为11420t/a（约38.1t/d）占苏州高新区</w:t>
            </w:r>
            <w:r>
              <w:rPr>
                <w:rFonts w:hint="eastAsia"/>
                <w:color w:val="000000"/>
                <w:sz w:val="24"/>
              </w:rPr>
              <w:t>科技城水质净化厂</w:t>
            </w:r>
            <w:r>
              <w:rPr>
                <w:color w:val="000000"/>
                <w:sz w:val="24"/>
              </w:rPr>
              <w:t>余量处理能力的0.18%，故苏州高新区</w:t>
            </w:r>
            <w:r>
              <w:rPr>
                <w:rFonts w:hint="eastAsia"/>
                <w:color w:val="000000"/>
                <w:sz w:val="24"/>
              </w:rPr>
              <w:t>科技城水质净化厂</w:t>
            </w:r>
            <w:r>
              <w:rPr>
                <w:color w:val="000000"/>
                <w:sz w:val="24"/>
              </w:rPr>
              <w:t>完全有能力处理本项目废水。苏州高新区</w:t>
            </w:r>
            <w:r>
              <w:rPr>
                <w:rFonts w:hint="eastAsia"/>
                <w:color w:val="000000"/>
                <w:sz w:val="24"/>
              </w:rPr>
              <w:t>科技城水质净化厂</w:t>
            </w:r>
            <w:r>
              <w:rPr>
                <w:color w:val="000000"/>
                <w:sz w:val="24"/>
              </w:rPr>
              <w:t>的接管标准为COD≤500mg/L，SS≤400mg/L，氨氮≤45mg/L，总磷≤8mg/L，总氮≤70mg/L。而本项目废水排口污染物各项水质指标均低于接管标准，可见完全能达到污水厂的接管要求。且项目废水水质简单，可生化性好，预计对污水厂处理工艺不会产生冲击负荷。具体流程图见图4-1。</w:t>
            </w:r>
          </w:p>
          <w:p>
            <w:pPr>
              <w:jc w:val="center"/>
              <w:rPr>
                <w:color w:val="000000"/>
              </w:rPr>
            </w:pPr>
            <w:r>
              <w:rPr>
                <w:color w:val="000000"/>
              </w:rPr>
              <w:drawing>
                <wp:inline distT="0" distB="0" distL="114300" distR="114300">
                  <wp:extent cx="4569460" cy="2482215"/>
                  <wp:effectExtent l="0" t="0" r="0" b="0"/>
                  <wp:docPr id="11"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7"/>
                          <pic:cNvPicPr>
                            <a:picLocks noChangeAspect="1"/>
                          </pic:cNvPicPr>
                        </pic:nvPicPr>
                        <pic:blipFill>
                          <a:blip r:embed="rId10"/>
                          <a:stretch>
                            <a:fillRect/>
                          </a:stretch>
                        </pic:blipFill>
                        <pic:spPr>
                          <a:xfrm>
                            <a:off x="0" y="0"/>
                            <a:ext cx="4569460" cy="2482215"/>
                          </a:xfrm>
                          <a:prstGeom prst="rect">
                            <a:avLst/>
                          </a:prstGeom>
                          <a:noFill/>
                          <a:ln>
                            <a:noFill/>
                          </a:ln>
                        </pic:spPr>
                      </pic:pic>
                    </a:graphicData>
                  </a:graphic>
                </wp:inline>
              </w:drawing>
            </w:r>
          </w:p>
          <w:p>
            <w:pPr>
              <w:spacing w:line="360" w:lineRule="auto"/>
              <w:jc w:val="center"/>
              <w:rPr>
                <w:b/>
                <w:color w:val="000000"/>
                <w:sz w:val="24"/>
              </w:rPr>
            </w:pPr>
            <w:r>
              <w:rPr>
                <w:b/>
                <w:color w:val="000000"/>
                <w:sz w:val="24"/>
              </w:rPr>
              <w:t xml:space="preserve">图4-1  </w:t>
            </w:r>
            <w:r>
              <w:rPr>
                <w:rFonts w:hint="eastAsia"/>
                <w:b/>
                <w:color w:val="000000"/>
                <w:sz w:val="24"/>
              </w:rPr>
              <w:t>科技城水质净化厂</w:t>
            </w:r>
            <w:r>
              <w:rPr>
                <w:b/>
                <w:color w:val="000000"/>
                <w:sz w:val="24"/>
              </w:rPr>
              <w:t>处理工艺流程图</w:t>
            </w:r>
          </w:p>
          <w:p>
            <w:pPr>
              <w:spacing w:line="360" w:lineRule="auto"/>
              <w:ind w:firstLine="480" w:firstLineChars="200"/>
              <w:jc w:val="left"/>
              <w:rPr>
                <w:color w:val="000000"/>
                <w:sz w:val="24"/>
              </w:rPr>
            </w:pPr>
            <w:r>
              <w:rPr>
                <w:color w:val="000000"/>
                <w:sz w:val="24"/>
              </w:rPr>
              <w:t>综上所述，本项目生活废水从时间、空间、水量和水质上均能达到污水厂接管和处理要求，不会对苏州高新区</w:t>
            </w:r>
            <w:r>
              <w:rPr>
                <w:rFonts w:hint="eastAsia"/>
                <w:color w:val="000000"/>
                <w:sz w:val="24"/>
              </w:rPr>
              <w:t>科技城水质净化厂</w:t>
            </w:r>
            <w:r>
              <w:rPr>
                <w:color w:val="000000"/>
                <w:sz w:val="24"/>
              </w:rPr>
              <w:t>的正常运行产生不良影响。即本项目接管至苏州高新区</w:t>
            </w:r>
            <w:r>
              <w:rPr>
                <w:rFonts w:hint="eastAsia"/>
                <w:color w:val="000000"/>
                <w:sz w:val="24"/>
              </w:rPr>
              <w:t>科技城水质净化厂</w:t>
            </w:r>
            <w:r>
              <w:rPr>
                <w:color w:val="000000"/>
                <w:sz w:val="24"/>
              </w:rPr>
              <w:t>是可行的。</w:t>
            </w:r>
          </w:p>
          <w:p>
            <w:pPr>
              <w:spacing w:line="360" w:lineRule="auto"/>
              <w:rPr>
                <w:b/>
                <w:bCs/>
                <w:color w:val="000000"/>
                <w:spacing w:val="4"/>
                <w:sz w:val="24"/>
              </w:rPr>
            </w:pPr>
            <w:r>
              <w:rPr>
                <w:b/>
                <w:bCs/>
                <w:color w:val="000000"/>
                <w:spacing w:val="4"/>
                <w:sz w:val="24"/>
              </w:rPr>
              <w:t>4.2.3废水监测要求</w:t>
            </w:r>
          </w:p>
          <w:p>
            <w:pPr>
              <w:tabs>
                <w:tab w:val="left" w:pos="0"/>
              </w:tabs>
              <w:spacing w:line="360" w:lineRule="auto"/>
              <w:ind w:firstLine="480" w:firstLineChars="200"/>
              <w:rPr>
                <w:color w:val="000000"/>
                <w:sz w:val="24"/>
              </w:rPr>
            </w:pPr>
            <w:r>
              <w:rPr>
                <w:color w:val="000000"/>
                <w:sz w:val="24"/>
              </w:rPr>
              <w:t>根据排污口规范化设置要求，对厂内污水接管口水污染物进行监测，在接管口附近醒目处，设置环境保护图形标志牌。</w:t>
            </w:r>
          </w:p>
          <w:p>
            <w:pPr>
              <w:tabs>
                <w:tab w:val="left" w:pos="0"/>
              </w:tabs>
              <w:spacing w:line="360" w:lineRule="auto"/>
              <w:ind w:firstLine="480" w:firstLineChars="200"/>
              <w:rPr>
                <w:color w:val="000000"/>
                <w:sz w:val="24"/>
              </w:rPr>
            </w:pPr>
            <w:r>
              <w:rPr>
                <w:color w:val="000000"/>
                <w:sz w:val="24"/>
              </w:rPr>
              <w:t>有关废水监测项目及监测频次见下表：</w:t>
            </w:r>
          </w:p>
          <w:p>
            <w:pPr>
              <w:snapToGrid w:val="0"/>
              <w:spacing w:before="60"/>
              <w:jc w:val="center"/>
              <w:rPr>
                <w:b/>
                <w:color w:val="000000"/>
                <w:sz w:val="24"/>
              </w:rPr>
            </w:pPr>
            <w:r>
              <w:rPr>
                <w:b/>
                <w:color w:val="000000"/>
                <w:sz w:val="24"/>
              </w:rPr>
              <w:t>表4-1</w:t>
            </w:r>
            <w:r>
              <w:rPr>
                <w:rFonts w:hint="eastAsia"/>
                <w:b/>
                <w:color w:val="000000"/>
                <w:sz w:val="24"/>
              </w:rPr>
              <w:t>9</w:t>
            </w:r>
            <w:r>
              <w:rPr>
                <w:b/>
                <w:color w:val="000000"/>
                <w:sz w:val="24"/>
              </w:rPr>
              <w:t xml:space="preserve">  废水监测内容</w:t>
            </w:r>
          </w:p>
          <w:tbl>
            <w:tblPr>
              <w:tblStyle w:val="20"/>
              <w:tblW w:w="50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2099"/>
              <w:gridCol w:w="1256"/>
              <w:gridCol w:w="3850"/>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46" w:type="pct"/>
                  <w:vAlign w:val="center"/>
                </w:tcPr>
                <w:p>
                  <w:pPr>
                    <w:tabs>
                      <w:tab w:val="left" w:pos="0"/>
                    </w:tabs>
                    <w:jc w:val="center"/>
                    <w:rPr>
                      <w:b/>
                      <w:color w:val="000000"/>
                      <w:szCs w:val="21"/>
                    </w:rPr>
                  </w:pPr>
                  <w:r>
                    <w:rPr>
                      <w:b/>
                      <w:color w:val="000000"/>
                      <w:szCs w:val="21"/>
                    </w:rPr>
                    <w:t>类别</w:t>
                  </w:r>
                </w:p>
              </w:tc>
              <w:tc>
                <w:tcPr>
                  <w:tcW w:w="1151" w:type="pct"/>
                  <w:vAlign w:val="center"/>
                </w:tcPr>
                <w:p>
                  <w:pPr>
                    <w:tabs>
                      <w:tab w:val="left" w:pos="0"/>
                    </w:tabs>
                    <w:jc w:val="center"/>
                    <w:rPr>
                      <w:b/>
                      <w:color w:val="000000"/>
                      <w:szCs w:val="21"/>
                    </w:rPr>
                  </w:pPr>
                  <w:r>
                    <w:rPr>
                      <w:b/>
                      <w:color w:val="000000"/>
                      <w:szCs w:val="21"/>
                    </w:rPr>
                    <w:t>监测点位</w:t>
                  </w:r>
                </w:p>
              </w:tc>
              <w:tc>
                <w:tcPr>
                  <w:tcW w:w="689" w:type="pct"/>
                  <w:vAlign w:val="center"/>
                </w:tcPr>
                <w:p>
                  <w:pPr>
                    <w:tabs>
                      <w:tab w:val="left" w:pos="0"/>
                    </w:tabs>
                    <w:jc w:val="center"/>
                    <w:rPr>
                      <w:b/>
                      <w:color w:val="000000"/>
                      <w:szCs w:val="21"/>
                    </w:rPr>
                  </w:pPr>
                  <w:r>
                    <w:rPr>
                      <w:b/>
                      <w:color w:val="000000"/>
                      <w:szCs w:val="21"/>
                    </w:rPr>
                    <w:t>监测频次</w:t>
                  </w:r>
                </w:p>
              </w:tc>
              <w:tc>
                <w:tcPr>
                  <w:tcW w:w="2111" w:type="pct"/>
                  <w:vAlign w:val="center"/>
                </w:tcPr>
                <w:p>
                  <w:pPr>
                    <w:tabs>
                      <w:tab w:val="left" w:pos="0"/>
                    </w:tabs>
                    <w:jc w:val="center"/>
                    <w:rPr>
                      <w:b/>
                      <w:color w:val="000000"/>
                      <w:szCs w:val="21"/>
                    </w:rPr>
                  </w:pPr>
                  <w:r>
                    <w:rPr>
                      <w:b/>
                      <w:color w:val="000000"/>
                      <w:szCs w:val="21"/>
                    </w:rPr>
                    <w:t>监测项目</w:t>
                  </w:r>
                </w:p>
              </w:tc>
              <w:tc>
                <w:tcPr>
                  <w:tcW w:w="601" w:type="pct"/>
                  <w:vAlign w:val="center"/>
                </w:tcPr>
                <w:p>
                  <w:pPr>
                    <w:tabs>
                      <w:tab w:val="left" w:pos="0"/>
                    </w:tabs>
                    <w:jc w:val="center"/>
                    <w:rPr>
                      <w:b/>
                      <w:color w:val="000000"/>
                      <w:szCs w:val="21"/>
                    </w:rPr>
                  </w:pPr>
                  <w:r>
                    <w:rPr>
                      <w:b/>
                      <w:color w:val="000000"/>
                      <w:szCs w:val="21"/>
                    </w:rPr>
                    <w:t>委托单位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46" w:type="pct"/>
                  <w:vAlign w:val="center"/>
                </w:tcPr>
                <w:p>
                  <w:pPr>
                    <w:tabs>
                      <w:tab w:val="left" w:pos="0"/>
                    </w:tabs>
                    <w:jc w:val="center"/>
                    <w:rPr>
                      <w:color w:val="000000"/>
                      <w:szCs w:val="21"/>
                    </w:rPr>
                  </w:pPr>
                  <w:r>
                    <w:rPr>
                      <w:color w:val="000000"/>
                      <w:szCs w:val="21"/>
                    </w:rPr>
                    <w:t>废水</w:t>
                  </w:r>
                </w:p>
              </w:tc>
              <w:tc>
                <w:tcPr>
                  <w:tcW w:w="1151" w:type="pct"/>
                  <w:vAlign w:val="center"/>
                </w:tcPr>
                <w:p>
                  <w:pPr>
                    <w:tabs>
                      <w:tab w:val="left" w:pos="0"/>
                    </w:tabs>
                    <w:jc w:val="center"/>
                    <w:rPr>
                      <w:color w:val="000000"/>
                      <w:szCs w:val="21"/>
                    </w:rPr>
                  </w:pPr>
                  <w:r>
                    <w:rPr>
                      <w:rFonts w:hint="eastAsia"/>
                      <w:color w:val="000000"/>
                      <w:szCs w:val="21"/>
                    </w:rPr>
                    <w:t>总排放口</w:t>
                  </w:r>
                </w:p>
              </w:tc>
              <w:tc>
                <w:tcPr>
                  <w:tcW w:w="689" w:type="pct"/>
                  <w:vAlign w:val="center"/>
                </w:tcPr>
                <w:p>
                  <w:pPr>
                    <w:tabs>
                      <w:tab w:val="left" w:pos="0"/>
                    </w:tabs>
                    <w:jc w:val="center"/>
                    <w:rPr>
                      <w:color w:val="000000"/>
                      <w:szCs w:val="21"/>
                    </w:rPr>
                  </w:pPr>
                  <w:r>
                    <w:rPr>
                      <w:color w:val="000000"/>
                      <w:szCs w:val="21"/>
                    </w:rPr>
                    <w:t>1次/年</w:t>
                  </w:r>
                </w:p>
              </w:tc>
              <w:tc>
                <w:tcPr>
                  <w:tcW w:w="2111" w:type="pct"/>
                  <w:vAlign w:val="center"/>
                </w:tcPr>
                <w:p>
                  <w:pPr>
                    <w:tabs>
                      <w:tab w:val="left" w:pos="0"/>
                    </w:tabs>
                    <w:jc w:val="center"/>
                    <w:rPr>
                      <w:color w:val="000000"/>
                      <w:szCs w:val="21"/>
                    </w:rPr>
                  </w:pPr>
                  <w:r>
                    <w:rPr>
                      <w:color w:val="000000"/>
                      <w:szCs w:val="21"/>
                    </w:rPr>
                    <w:t>pH、COD、SS、氨氮、总氮、总磷</w:t>
                  </w:r>
                </w:p>
              </w:tc>
              <w:tc>
                <w:tcPr>
                  <w:tcW w:w="601" w:type="pct"/>
                  <w:vAlign w:val="center"/>
                </w:tcPr>
                <w:p>
                  <w:pPr>
                    <w:tabs>
                      <w:tab w:val="left" w:pos="0"/>
                    </w:tabs>
                    <w:jc w:val="center"/>
                    <w:rPr>
                      <w:color w:val="000000"/>
                      <w:szCs w:val="21"/>
                    </w:rPr>
                  </w:pPr>
                  <w:r>
                    <w:rPr>
                      <w:color w:val="000000"/>
                      <w:szCs w:val="21"/>
                    </w:rPr>
                    <w:t>监测机构</w:t>
                  </w:r>
                </w:p>
              </w:tc>
            </w:tr>
          </w:tbl>
          <w:p>
            <w:pPr>
              <w:tabs>
                <w:tab w:val="left" w:pos="0"/>
              </w:tabs>
              <w:spacing w:line="360" w:lineRule="auto"/>
              <w:ind w:firstLine="360" w:firstLineChars="200"/>
              <w:rPr>
                <w:color w:val="000000"/>
                <w:sz w:val="24"/>
              </w:rPr>
            </w:pPr>
            <w:r>
              <w:rPr>
                <w:color w:val="000000"/>
                <w:kern w:val="0"/>
                <w:sz w:val="18"/>
                <w:szCs w:val="18"/>
              </w:rPr>
              <w:t>注：常规监测采样分析方法全部按照国家环境保护总局制定的相关规范执行。</w:t>
            </w:r>
          </w:p>
          <w:p>
            <w:pPr>
              <w:spacing w:line="360" w:lineRule="auto"/>
              <w:rPr>
                <w:b/>
                <w:bCs/>
                <w:color w:val="000000"/>
                <w:spacing w:val="4"/>
                <w:sz w:val="24"/>
              </w:rPr>
            </w:pPr>
            <w:r>
              <w:rPr>
                <w:b/>
                <w:bCs/>
                <w:color w:val="000000"/>
                <w:spacing w:val="4"/>
                <w:sz w:val="24"/>
              </w:rPr>
              <w:t>4.2.4水环境影响评价结论</w:t>
            </w:r>
          </w:p>
          <w:p>
            <w:pPr>
              <w:tabs>
                <w:tab w:val="left" w:pos="0"/>
              </w:tabs>
              <w:spacing w:line="360" w:lineRule="auto"/>
              <w:ind w:firstLine="480" w:firstLineChars="200"/>
              <w:rPr>
                <w:color w:val="000000"/>
                <w:sz w:val="24"/>
              </w:rPr>
            </w:pPr>
            <w:r>
              <w:rPr>
                <w:color w:val="000000"/>
                <w:sz w:val="24"/>
              </w:rPr>
              <w:t>本项目废水为生活污水，主要污染物是COD、SS、氨氮、总氮、总磷等。废水通过市政污水管网接管至</w:t>
            </w:r>
            <w:r>
              <w:rPr>
                <w:rFonts w:hint="eastAsia"/>
                <w:color w:val="000000"/>
                <w:sz w:val="24"/>
              </w:rPr>
              <w:t>科技城水质净化厂</w:t>
            </w:r>
            <w:r>
              <w:rPr>
                <w:color w:val="000000"/>
                <w:sz w:val="24"/>
              </w:rPr>
              <w:t>。废水水质简单，不会对污水处理工艺造成冲击负荷，不会影响污水厂出水水质达标。废水经</w:t>
            </w:r>
            <w:r>
              <w:rPr>
                <w:rFonts w:hint="eastAsia"/>
                <w:color w:val="000000"/>
                <w:sz w:val="24"/>
              </w:rPr>
              <w:t>科技城水质净化厂</w:t>
            </w:r>
            <w:r>
              <w:rPr>
                <w:color w:val="000000"/>
                <w:sz w:val="24"/>
              </w:rPr>
              <w:t>处理达《城镇污水处理厂污染物排放标准》（GB18918-2002）中的一级A标准和“苏州特别排放标准”后最终排入</w:t>
            </w:r>
            <w:r>
              <w:rPr>
                <w:rFonts w:hint="eastAsia"/>
                <w:color w:val="000000"/>
                <w:kern w:val="0"/>
                <w:sz w:val="24"/>
              </w:rPr>
              <w:t>浒光运河</w:t>
            </w:r>
            <w:r>
              <w:rPr>
                <w:color w:val="000000"/>
                <w:sz w:val="24"/>
              </w:rPr>
              <w:t>，所依托污水设施具有环境可行性，本项目地表水环境影响是可以接受的。</w:t>
            </w:r>
          </w:p>
          <w:p>
            <w:pPr>
              <w:tabs>
                <w:tab w:val="left" w:pos="0"/>
              </w:tabs>
              <w:spacing w:line="360" w:lineRule="auto"/>
              <w:jc w:val="left"/>
              <w:rPr>
                <w:b/>
                <w:color w:val="000000"/>
                <w:sz w:val="24"/>
              </w:rPr>
            </w:pPr>
            <w:r>
              <w:rPr>
                <w:b/>
                <w:color w:val="000000"/>
                <w:sz w:val="24"/>
              </w:rPr>
              <w:t>4.3声环境影响及防治措施分析</w:t>
            </w:r>
          </w:p>
          <w:p>
            <w:pPr>
              <w:tabs>
                <w:tab w:val="left" w:pos="0"/>
              </w:tabs>
              <w:spacing w:line="360" w:lineRule="auto"/>
              <w:jc w:val="left"/>
              <w:rPr>
                <w:b/>
                <w:color w:val="000000"/>
                <w:sz w:val="24"/>
              </w:rPr>
            </w:pPr>
            <w:r>
              <w:rPr>
                <w:b/>
                <w:color w:val="000000"/>
                <w:sz w:val="24"/>
              </w:rPr>
              <w:t>4.3.1噪声源强及污染防治措施</w:t>
            </w:r>
          </w:p>
          <w:p>
            <w:pPr>
              <w:tabs>
                <w:tab w:val="left" w:pos="0"/>
              </w:tabs>
              <w:spacing w:line="360" w:lineRule="auto"/>
              <w:ind w:firstLine="480" w:firstLineChars="200"/>
              <w:rPr>
                <w:color w:val="000000"/>
                <w:sz w:val="24"/>
              </w:rPr>
            </w:pPr>
            <w:r>
              <w:rPr>
                <w:color w:val="000000"/>
                <w:sz w:val="24"/>
              </w:rPr>
              <w:t>（1）噪声源强分析</w:t>
            </w:r>
          </w:p>
          <w:p>
            <w:pPr>
              <w:tabs>
                <w:tab w:val="left" w:pos="0"/>
              </w:tabs>
              <w:spacing w:line="360" w:lineRule="auto"/>
              <w:ind w:firstLine="480" w:firstLineChars="200"/>
              <w:rPr>
                <w:bCs/>
                <w:color w:val="000000"/>
                <w:sz w:val="24"/>
              </w:rPr>
            </w:pPr>
            <w:r>
              <w:rPr>
                <w:color w:val="000000"/>
                <w:sz w:val="24"/>
              </w:rPr>
              <w:t>本项目主要噪声源为印刷机、贴片机、清洗机、空压机、风机，</w:t>
            </w:r>
            <w:r>
              <w:rPr>
                <w:bCs/>
                <w:color w:val="000000"/>
                <w:sz w:val="24"/>
              </w:rPr>
              <w:t>其噪声源强约75~85dB（A），噪声为间歇排放，存在的时间较短。项目选用低噪声设备，同时采取隔声、减振以及厂区绿化等措施，以起到隔声降噪作用。厂界噪声能达到《工业企业厂界环境噪声排放标准》（GB12348-2008）3类标准。设备主要噪声源见下表。</w:t>
            </w:r>
          </w:p>
          <w:p>
            <w:pPr>
              <w:snapToGrid w:val="0"/>
              <w:spacing w:before="60"/>
              <w:jc w:val="center"/>
              <w:rPr>
                <w:b/>
                <w:color w:val="000000"/>
                <w:sz w:val="24"/>
              </w:rPr>
            </w:pPr>
            <w:r>
              <w:rPr>
                <w:b/>
                <w:color w:val="000000"/>
                <w:sz w:val="24"/>
              </w:rPr>
              <w:t>表4-18  项目主要噪声源强及治理情况一览表</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2589"/>
              <w:gridCol w:w="1119"/>
              <w:gridCol w:w="1960"/>
              <w:gridCol w:w="22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b/>
                      <w:szCs w:val="21"/>
                    </w:rPr>
                  </w:pPr>
                  <w:r>
                    <w:rPr>
                      <w:b/>
                      <w:szCs w:val="21"/>
                    </w:rPr>
                    <w:t>序号</w:t>
                  </w:r>
                </w:p>
              </w:tc>
              <w:tc>
                <w:tcPr>
                  <w:tcW w:w="1425" w:type="pct"/>
                  <w:vAlign w:val="center"/>
                </w:tcPr>
                <w:p>
                  <w:pPr>
                    <w:jc w:val="center"/>
                    <w:rPr>
                      <w:b/>
                      <w:szCs w:val="21"/>
                    </w:rPr>
                  </w:pPr>
                  <w:r>
                    <w:rPr>
                      <w:b/>
                      <w:szCs w:val="21"/>
                    </w:rPr>
                    <w:t>生产设备名称</w:t>
                  </w:r>
                </w:p>
              </w:tc>
              <w:tc>
                <w:tcPr>
                  <w:tcW w:w="616" w:type="pct"/>
                  <w:vAlign w:val="center"/>
                </w:tcPr>
                <w:p>
                  <w:pPr>
                    <w:jc w:val="center"/>
                    <w:rPr>
                      <w:b/>
                      <w:szCs w:val="21"/>
                    </w:rPr>
                  </w:pPr>
                  <w:r>
                    <w:rPr>
                      <w:b/>
                      <w:szCs w:val="21"/>
                    </w:rPr>
                    <w:t>数量</w:t>
                  </w:r>
                </w:p>
              </w:tc>
              <w:tc>
                <w:tcPr>
                  <w:tcW w:w="1079" w:type="pct"/>
                  <w:vAlign w:val="center"/>
                </w:tcPr>
                <w:p>
                  <w:pPr>
                    <w:jc w:val="center"/>
                    <w:rPr>
                      <w:b/>
                      <w:szCs w:val="21"/>
                    </w:rPr>
                  </w:pPr>
                  <w:r>
                    <w:rPr>
                      <w:b/>
                      <w:szCs w:val="21"/>
                    </w:rPr>
                    <w:t>源强（</w:t>
                  </w:r>
                  <w:r>
                    <w:rPr>
                      <w:b/>
                      <w:color w:val="000000"/>
                      <w:szCs w:val="21"/>
                    </w:rPr>
                    <w:t>dB（A）</w:t>
                  </w:r>
                  <w:r>
                    <w:rPr>
                      <w:b/>
                      <w:szCs w:val="21"/>
                    </w:rPr>
                    <w:t>）</w:t>
                  </w:r>
                </w:p>
              </w:tc>
              <w:tc>
                <w:tcPr>
                  <w:tcW w:w="1254" w:type="pct"/>
                  <w:vAlign w:val="center"/>
                </w:tcPr>
                <w:p>
                  <w:pPr>
                    <w:jc w:val="center"/>
                    <w:rPr>
                      <w:b/>
                      <w:szCs w:val="21"/>
                    </w:rPr>
                  </w:pPr>
                  <w:r>
                    <w:rPr>
                      <w:b/>
                      <w:szCs w:val="21"/>
                    </w:rPr>
                    <w:t>与车间边界距离（m）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szCs w:val="21"/>
                    </w:rPr>
                    <w:t>1</w:t>
                  </w:r>
                </w:p>
              </w:tc>
              <w:tc>
                <w:tcPr>
                  <w:tcW w:w="1425" w:type="pct"/>
                  <w:vAlign w:val="center"/>
                </w:tcPr>
                <w:p>
                  <w:pPr>
                    <w:wordWrap w:val="0"/>
                    <w:jc w:val="center"/>
                    <w:rPr>
                      <w:szCs w:val="21"/>
                    </w:rPr>
                  </w:pPr>
                  <w:r>
                    <w:rPr>
                      <w:color w:val="000000"/>
                      <w:szCs w:val="21"/>
                    </w:rPr>
                    <w:t>印刷机</w:t>
                  </w:r>
                </w:p>
              </w:tc>
              <w:tc>
                <w:tcPr>
                  <w:tcW w:w="616" w:type="pct"/>
                  <w:vAlign w:val="center"/>
                </w:tcPr>
                <w:p>
                  <w:pPr>
                    <w:wordWrap w:val="0"/>
                    <w:jc w:val="center"/>
                    <w:rPr>
                      <w:szCs w:val="21"/>
                    </w:rPr>
                  </w:pPr>
                  <w:r>
                    <w:rPr>
                      <w:rFonts w:hint="eastAsia"/>
                      <w:color w:val="000000"/>
                      <w:szCs w:val="21"/>
                    </w:rPr>
                    <w:t>12</w:t>
                  </w:r>
                </w:p>
              </w:tc>
              <w:tc>
                <w:tcPr>
                  <w:tcW w:w="1079" w:type="pct"/>
                  <w:vAlign w:val="center"/>
                </w:tcPr>
                <w:p>
                  <w:pPr>
                    <w:jc w:val="center"/>
                    <w:rPr>
                      <w:szCs w:val="21"/>
                    </w:rPr>
                  </w:pPr>
                  <w:r>
                    <w:rPr>
                      <w:szCs w:val="21"/>
                    </w:rPr>
                    <w:t>75</w:t>
                  </w:r>
                </w:p>
              </w:tc>
              <w:tc>
                <w:tcPr>
                  <w:tcW w:w="1254" w:type="pct"/>
                  <w:vAlign w:val="center"/>
                </w:tcPr>
                <w:p>
                  <w:pPr>
                    <w:jc w:val="center"/>
                    <w:rPr>
                      <w:szCs w:val="21"/>
                    </w:rPr>
                  </w:pPr>
                  <w:r>
                    <w:rPr>
                      <w:szCs w:val="21"/>
                    </w:rPr>
                    <w:t>1</w:t>
                  </w:r>
                  <w:r>
                    <w:rPr>
                      <w:rFonts w:hint="eastAsia"/>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szCs w:val="21"/>
                    </w:rPr>
                    <w:t>2</w:t>
                  </w:r>
                </w:p>
              </w:tc>
              <w:tc>
                <w:tcPr>
                  <w:tcW w:w="1425" w:type="pct"/>
                  <w:vAlign w:val="center"/>
                </w:tcPr>
                <w:p>
                  <w:pPr>
                    <w:snapToGrid w:val="0"/>
                    <w:spacing w:line="320" w:lineRule="exact"/>
                    <w:jc w:val="center"/>
                    <w:rPr>
                      <w:szCs w:val="21"/>
                    </w:rPr>
                  </w:pPr>
                  <w:r>
                    <w:rPr>
                      <w:color w:val="000000"/>
                      <w:szCs w:val="21"/>
                    </w:rPr>
                    <w:t>贴片机</w:t>
                  </w:r>
                </w:p>
              </w:tc>
              <w:tc>
                <w:tcPr>
                  <w:tcW w:w="616" w:type="pct"/>
                  <w:vAlign w:val="center"/>
                </w:tcPr>
                <w:p>
                  <w:pPr>
                    <w:wordWrap w:val="0"/>
                    <w:jc w:val="center"/>
                    <w:rPr>
                      <w:szCs w:val="21"/>
                    </w:rPr>
                  </w:pPr>
                  <w:r>
                    <w:rPr>
                      <w:rFonts w:hint="eastAsia"/>
                      <w:color w:val="000000"/>
                      <w:szCs w:val="21"/>
                    </w:rPr>
                    <w:t>36</w:t>
                  </w:r>
                </w:p>
              </w:tc>
              <w:tc>
                <w:tcPr>
                  <w:tcW w:w="1079" w:type="pct"/>
                  <w:vAlign w:val="center"/>
                </w:tcPr>
                <w:p>
                  <w:pPr>
                    <w:jc w:val="center"/>
                    <w:rPr>
                      <w:szCs w:val="21"/>
                    </w:rPr>
                  </w:pPr>
                  <w:r>
                    <w:rPr>
                      <w:szCs w:val="21"/>
                    </w:rPr>
                    <w:t>85</w:t>
                  </w:r>
                </w:p>
              </w:tc>
              <w:tc>
                <w:tcPr>
                  <w:tcW w:w="1254" w:type="pct"/>
                  <w:vAlign w:val="center"/>
                </w:tcPr>
                <w:p>
                  <w:pPr>
                    <w:jc w:val="center"/>
                    <w:rPr>
                      <w:szCs w:val="21"/>
                    </w:rPr>
                  </w:pPr>
                  <w:r>
                    <w:rPr>
                      <w:szCs w:val="21"/>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szCs w:val="21"/>
                    </w:rPr>
                    <w:t>3</w:t>
                  </w:r>
                </w:p>
              </w:tc>
              <w:tc>
                <w:tcPr>
                  <w:tcW w:w="1425" w:type="pct"/>
                  <w:vAlign w:val="center"/>
                </w:tcPr>
                <w:p>
                  <w:pPr>
                    <w:snapToGrid w:val="0"/>
                    <w:spacing w:line="320" w:lineRule="exact"/>
                    <w:jc w:val="center"/>
                    <w:rPr>
                      <w:szCs w:val="21"/>
                    </w:rPr>
                  </w:pPr>
                  <w:r>
                    <w:rPr>
                      <w:rFonts w:hint="eastAsia"/>
                      <w:color w:val="000000"/>
                      <w:szCs w:val="21"/>
                    </w:rPr>
                    <w:t>回流焊</w:t>
                  </w:r>
                </w:p>
              </w:tc>
              <w:tc>
                <w:tcPr>
                  <w:tcW w:w="616" w:type="pct"/>
                  <w:vAlign w:val="center"/>
                </w:tcPr>
                <w:p>
                  <w:pPr>
                    <w:snapToGrid w:val="0"/>
                    <w:spacing w:line="320" w:lineRule="exact"/>
                    <w:jc w:val="center"/>
                    <w:rPr>
                      <w:szCs w:val="21"/>
                    </w:rPr>
                  </w:pPr>
                  <w:r>
                    <w:rPr>
                      <w:rFonts w:hint="eastAsia"/>
                      <w:color w:val="000000"/>
                      <w:szCs w:val="21"/>
                    </w:rPr>
                    <w:t>12</w:t>
                  </w:r>
                </w:p>
              </w:tc>
              <w:tc>
                <w:tcPr>
                  <w:tcW w:w="1079" w:type="pct"/>
                  <w:vAlign w:val="center"/>
                </w:tcPr>
                <w:p>
                  <w:pPr>
                    <w:jc w:val="center"/>
                    <w:rPr>
                      <w:szCs w:val="21"/>
                    </w:rPr>
                  </w:pPr>
                  <w:r>
                    <w:rPr>
                      <w:szCs w:val="21"/>
                    </w:rPr>
                    <w:t>75</w:t>
                  </w:r>
                </w:p>
              </w:tc>
              <w:tc>
                <w:tcPr>
                  <w:tcW w:w="1254" w:type="pct"/>
                  <w:vAlign w:val="center"/>
                </w:tcPr>
                <w:p>
                  <w:pPr>
                    <w:jc w:val="center"/>
                    <w:rPr>
                      <w:szCs w:val="21"/>
                    </w:rPr>
                  </w:pPr>
                  <w:r>
                    <w:rPr>
                      <w:szCs w:val="21"/>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szCs w:val="21"/>
                    </w:rPr>
                    <w:t>4</w:t>
                  </w:r>
                </w:p>
              </w:tc>
              <w:tc>
                <w:tcPr>
                  <w:tcW w:w="1425" w:type="pct"/>
                  <w:vAlign w:val="center"/>
                </w:tcPr>
                <w:p>
                  <w:pPr>
                    <w:snapToGrid w:val="0"/>
                    <w:spacing w:line="320" w:lineRule="exact"/>
                    <w:jc w:val="center"/>
                    <w:rPr>
                      <w:szCs w:val="21"/>
                    </w:rPr>
                  </w:pPr>
                  <w:r>
                    <w:rPr>
                      <w:rFonts w:hint="eastAsia"/>
                      <w:color w:val="000000"/>
                      <w:szCs w:val="21"/>
                    </w:rPr>
                    <w:t>波峰焊</w:t>
                  </w:r>
                </w:p>
              </w:tc>
              <w:tc>
                <w:tcPr>
                  <w:tcW w:w="616" w:type="pct"/>
                  <w:vAlign w:val="center"/>
                </w:tcPr>
                <w:p>
                  <w:pPr>
                    <w:snapToGrid w:val="0"/>
                    <w:spacing w:line="320" w:lineRule="exact"/>
                    <w:jc w:val="center"/>
                    <w:rPr>
                      <w:szCs w:val="21"/>
                    </w:rPr>
                  </w:pPr>
                  <w:r>
                    <w:rPr>
                      <w:rFonts w:hint="eastAsia"/>
                      <w:color w:val="000000"/>
                      <w:szCs w:val="21"/>
                    </w:rPr>
                    <w:t>4</w:t>
                  </w:r>
                </w:p>
              </w:tc>
              <w:tc>
                <w:tcPr>
                  <w:tcW w:w="1079" w:type="pct"/>
                  <w:vAlign w:val="center"/>
                </w:tcPr>
                <w:p>
                  <w:pPr>
                    <w:jc w:val="center"/>
                    <w:rPr>
                      <w:szCs w:val="21"/>
                    </w:rPr>
                  </w:pPr>
                  <w:r>
                    <w:rPr>
                      <w:rFonts w:hint="eastAsia"/>
                      <w:szCs w:val="21"/>
                    </w:rPr>
                    <w:t>85</w:t>
                  </w:r>
                </w:p>
              </w:tc>
              <w:tc>
                <w:tcPr>
                  <w:tcW w:w="1254" w:type="pct"/>
                  <w:vAlign w:val="center"/>
                </w:tcPr>
                <w:p>
                  <w:pPr>
                    <w:jc w:val="center"/>
                    <w:rPr>
                      <w:szCs w:val="21"/>
                    </w:rPr>
                  </w:pPr>
                  <w:r>
                    <w:rPr>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szCs w:val="21"/>
                    </w:rPr>
                    <w:t>5</w:t>
                  </w:r>
                </w:p>
              </w:tc>
              <w:tc>
                <w:tcPr>
                  <w:tcW w:w="1425" w:type="pct"/>
                  <w:vAlign w:val="center"/>
                </w:tcPr>
                <w:p>
                  <w:pPr>
                    <w:snapToGrid w:val="0"/>
                    <w:spacing w:line="320" w:lineRule="exact"/>
                    <w:jc w:val="center"/>
                    <w:rPr>
                      <w:szCs w:val="21"/>
                    </w:rPr>
                  </w:pPr>
                  <w:r>
                    <w:rPr>
                      <w:rFonts w:hint="eastAsia"/>
                      <w:color w:val="000000"/>
                      <w:szCs w:val="21"/>
                      <w:lang w:eastAsia="zh-CN"/>
                    </w:rPr>
                    <w:t>网版</w:t>
                  </w:r>
                  <w:r>
                    <w:rPr>
                      <w:rFonts w:hint="eastAsia"/>
                      <w:color w:val="000000"/>
                      <w:szCs w:val="21"/>
                    </w:rPr>
                    <w:t>清洗机</w:t>
                  </w:r>
                </w:p>
              </w:tc>
              <w:tc>
                <w:tcPr>
                  <w:tcW w:w="616" w:type="pct"/>
                  <w:vAlign w:val="center"/>
                </w:tcPr>
                <w:p>
                  <w:pPr>
                    <w:snapToGrid w:val="0"/>
                    <w:spacing w:line="320" w:lineRule="exact"/>
                    <w:jc w:val="center"/>
                    <w:rPr>
                      <w:szCs w:val="21"/>
                    </w:rPr>
                  </w:pPr>
                  <w:r>
                    <w:rPr>
                      <w:rFonts w:hint="eastAsia"/>
                      <w:color w:val="000000"/>
                      <w:szCs w:val="21"/>
                    </w:rPr>
                    <w:t>1</w:t>
                  </w:r>
                </w:p>
              </w:tc>
              <w:tc>
                <w:tcPr>
                  <w:tcW w:w="1079" w:type="pct"/>
                  <w:vAlign w:val="center"/>
                </w:tcPr>
                <w:p>
                  <w:pPr>
                    <w:jc w:val="center"/>
                    <w:rPr>
                      <w:szCs w:val="21"/>
                    </w:rPr>
                  </w:pPr>
                  <w:r>
                    <w:rPr>
                      <w:szCs w:val="21"/>
                    </w:rPr>
                    <w:t>70</w:t>
                  </w:r>
                </w:p>
              </w:tc>
              <w:tc>
                <w:tcPr>
                  <w:tcW w:w="1254" w:type="pct"/>
                  <w:vAlign w:val="center"/>
                </w:tcPr>
                <w:p>
                  <w:pPr>
                    <w:jc w:val="center"/>
                    <w:rPr>
                      <w:szCs w:val="21"/>
                    </w:rPr>
                  </w:pPr>
                  <w:r>
                    <w:rPr>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szCs w:val="21"/>
                    </w:rPr>
                    <w:t>6</w:t>
                  </w:r>
                </w:p>
              </w:tc>
              <w:tc>
                <w:tcPr>
                  <w:tcW w:w="1425" w:type="pct"/>
                  <w:vAlign w:val="center"/>
                </w:tcPr>
                <w:p>
                  <w:pPr>
                    <w:snapToGrid w:val="0"/>
                    <w:spacing w:line="320" w:lineRule="exact"/>
                    <w:jc w:val="center"/>
                    <w:rPr>
                      <w:szCs w:val="21"/>
                    </w:rPr>
                  </w:pPr>
                  <w:r>
                    <w:rPr>
                      <w:rFonts w:hint="eastAsia"/>
                      <w:color w:val="000000"/>
                      <w:szCs w:val="21"/>
                    </w:rPr>
                    <w:t>分板机</w:t>
                  </w:r>
                </w:p>
              </w:tc>
              <w:tc>
                <w:tcPr>
                  <w:tcW w:w="616" w:type="pct"/>
                  <w:vAlign w:val="center"/>
                </w:tcPr>
                <w:p>
                  <w:pPr>
                    <w:snapToGrid w:val="0"/>
                    <w:spacing w:line="320" w:lineRule="exact"/>
                    <w:jc w:val="center"/>
                    <w:rPr>
                      <w:szCs w:val="21"/>
                    </w:rPr>
                  </w:pPr>
                  <w:r>
                    <w:rPr>
                      <w:rFonts w:hint="eastAsia"/>
                      <w:color w:val="000000"/>
                      <w:szCs w:val="21"/>
                    </w:rPr>
                    <w:t>2</w:t>
                  </w:r>
                </w:p>
              </w:tc>
              <w:tc>
                <w:tcPr>
                  <w:tcW w:w="1079" w:type="pct"/>
                  <w:vAlign w:val="center"/>
                </w:tcPr>
                <w:p>
                  <w:pPr>
                    <w:jc w:val="center"/>
                    <w:rPr>
                      <w:szCs w:val="21"/>
                    </w:rPr>
                  </w:pPr>
                  <w:r>
                    <w:rPr>
                      <w:szCs w:val="21"/>
                    </w:rPr>
                    <w:t>75</w:t>
                  </w:r>
                </w:p>
              </w:tc>
              <w:tc>
                <w:tcPr>
                  <w:tcW w:w="1254" w:type="pct"/>
                  <w:vAlign w:val="center"/>
                </w:tcPr>
                <w:p>
                  <w:pPr>
                    <w:jc w:val="center"/>
                    <w:rPr>
                      <w:szCs w:val="21"/>
                    </w:rPr>
                  </w:pPr>
                  <w:r>
                    <w:rPr>
                      <w:szCs w:val="21"/>
                    </w:rPr>
                    <w:t>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rFonts w:hint="eastAsia"/>
                      <w:szCs w:val="21"/>
                    </w:rPr>
                    <w:t>7</w:t>
                  </w:r>
                </w:p>
              </w:tc>
              <w:tc>
                <w:tcPr>
                  <w:tcW w:w="1425" w:type="pct"/>
                  <w:vAlign w:val="center"/>
                </w:tcPr>
                <w:p>
                  <w:pPr>
                    <w:snapToGrid w:val="0"/>
                    <w:spacing w:line="320" w:lineRule="exact"/>
                    <w:jc w:val="center"/>
                    <w:rPr>
                      <w:szCs w:val="21"/>
                    </w:rPr>
                  </w:pPr>
                  <w:r>
                    <w:rPr>
                      <w:rFonts w:hint="eastAsia"/>
                      <w:color w:val="000000"/>
                      <w:szCs w:val="21"/>
                    </w:rPr>
                    <w:t>涂敷机</w:t>
                  </w:r>
                </w:p>
              </w:tc>
              <w:tc>
                <w:tcPr>
                  <w:tcW w:w="616" w:type="pct"/>
                  <w:vAlign w:val="center"/>
                </w:tcPr>
                <w:p>
                  <w:pPr>
                    <w:snapToGrid w:val="0"/>
                    <w:spacing w:line="320" w:lineRule="exact"/>
                    <w:jc w:val="center"/>
                    <w:rPr>
                      <w:szCs w:val="21"/>
                    </w:rPr>
                  </w:pPr>
                  <w:r>
                    <w:rPr>
                      <w:rFonts w:hint="eastAsia"/>
                      <w:color w:val="000000"/>
                      <w:szCs w:val="21"/>
                    </w:rPr>
                    <w:t>2</w:t>
                  </w:r>
                </w:p>
              </w:tc>
              <w:tc>
                <w:tcPr>
                  <w:tcW w:w="1079" w:type="pct"/>
                  <w:vAlign w:val="center"/>
                </w:tcPr>
                <w:p>
                  <w:pPr>
                    <w:jc w:val="center"/>
                    <w:rPr>
                      <w:szCs w:val="21"/>
                    </w:rPr>
                  </w:pPr>
                  <w:r>
                    <w:rPr>
                      <w:rFonts w:hint="eastAsia"/>
                      <w:szCs w:val="21"/>
                    </w:rPr>
                    <w:t>80</w:t>
                  </w:r>
                </w:p>
              </w:tc>
              <w:tc>
                <w:tcPr>
                  <w:tcW w:w="1254" w:type="pct"/>
                  <w:vAlign w:val="center"/>
                </w:tcPr>
                <w:p>
                  <w:pPr>
                    <w:jc w:val="center"/>
                    <w:rPr>
                      <w:szCs w:val="21"/>
                    </w:rPr>
                  </w:pPr>
                  <w:r>
                    <w:rPr>
                      <w:rFonts w:hint="eastAsia"/>
                      <w:szCs w:val="21"/>
                    </w:rPr>
                    <w:t>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624" w:type="pct"/>
                  <w:vAlign w:val="center"/>
                </w:tcPr>
                <w:p>
                  <w:pPr>
                    <w:jc w:val="center"/>
                    <w:rPr>
                      <w:szCs w:val="21"/>
                    </w:rPr>
                  </w:pPr>
                  <w:r>
                    <w:rPr>
                      <w:rFonts w:hint="eastAsia"/>
                      <w:szCs w:val="21"/>
                    </w:rPr>
                    <w:t>8</w:t>
                  </w:r>
                </w:p>
              </w:tc>
              <w:tc>
                <w:tcPr>
                  <w:tcW w:w="1425" w:type="pct"/>
                  <w:vAlign w:val="center"/>
                </w:tcPr>
                <w:p>
                  <w:pPr>
                    <w:snapToGrid w:val="0"/>
                    <w:spacing w:line="320" w:lineRule="exact"/>
                    <w:jc w:val="center"/>
                    <w:rPr>
                      <w:szCs w:val="21"/>
                    </w:rPr>
                  </w:pPr>
                  <w:r>
                    <w:rPr>
                      <w:rFonts w:hint="eastAsia"/>
                      <w:color w:val="000000"/>
                      <w:szCs w:val="21"/>
                    </w:rPr>
                    <w:t>镭雕机</w:t>
                  </w:r>
                </w:p>
              </w:tc>
              <w:tc>
                <w:tcPr>
                  <w:tcW w:w="616" w:type="pct"/>
                  <w:vAlign w:val="center"/>
                </w:tcPr>
                <w:p>
                  <w:pPr>
                    <w:snapToGrid w:val="0"/>
                    <w:spacing w:line="320" w:lineRule="exact"/>
                    <w:jc w:val="center"/>
                    <w:rPr>
                      <w:szCs w:val="21"/>
                    </w:rPr>
                  </w:pPr>
                  <w:r>
                    <w:rPr>
                      <w:rFonts w:hint="eastAsia"/>
                      <w:color w:val="000000"/>
                      <w:szCs w:val="21"/>
                    </w:rPr>
                    <w:t>2</w:t>
                  </w:r>
                </w:p>
              </w:tc>
              <w:tc>
                <w:tcPr>
                  <w:tcW w:w="1079" w:type="pct"/>
                  <w:vAlign w:val="center"/>
                </w:tcPr>
                <w:p>
                  <w:pPr>
                    <w:jc w:val="center"/>
                    <w:rPr>
                      <w:szCs w:val="21"/>
                    </w:rPr>
                  </w:pPr>
                  <w:r>
                    <w:rPr>
                      <w:rFonts w:hint="eastAsia"/>
                      <w:szCs w:val="21"/>
                    </w:rPr>
                    <w:t>80</w:t>
                  </w:r>
                </w:p>
              </w:tc>
              <w:tc>
                <w:tcPr>
                  <w:tcW w:w="1254" w:type="pct"/>
                  <w:vAlign w:val="center"/>
                </w:tcPr>
                <w:p>
                  <w:pPr>
                    <w:jc w:val="center"/>
                    <w:rPr>
                      <w:szCs w:val="21"/>
                    </w:rPr>
                  </w:pPr>
                  <w:r>
                    <w:rPr>
                      <w:rFonts w:hint="eastAsia"/>
                      <w:szCs w:val="21"/>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624" w:type="pct"/>
                  <w:vAlign w:val="center"/>
                </w:tcPr>
                <w:p>
                  <w:pPr>
                    <w:jc w:val="center"/>
                    <w:rPr>
                      <w:szCs w:val="21"/>
                    </w:rPr>
                  </w:pPr>
                  <w:r>
                    <w:rPr>
                      <w:rFonts w:hint="eastAsia"/>
                      <w:szCs w:val="21"/>
                    </w:rPr>
                    <w:t>9</w:t>
                  </w:r>
                </w:p>
              </w:tc>
              <w:tc>
                <w:tcPr>
                  <w:tcW w:w="1425" w:type="pct"/>
                  <w:vAlign w:val="center"/>
                </w:tcPr>
                <w:p>
                  <w:pPr>
                    <w:snapToGrid w:val="0"/>
                    <w:spacing w:line="320" w:lineRule="exact"/>
                    <w:jc w:val="center"/>
                    <w:rPr>
                      <w:color w:val="000000"/>
                      <w:szCs w:val="21"/>
                    </w:rPr>
                  </w:pPr>
                  <w:r>
                    <w:rPr>
                      <w:rFonts w:hint="eastAsia"/>
                      <w:color w:val="000000"/>
                      <w:szCs w:val="21"/>
                    </w:rPr>
                    <w:t>插件线</w:t>
                  </w:r>
                </w:p>
              </w:tc>
              <w:tc>
                <w:tcPr>
                  <w:tcW w:w="616" w:type="pct"/>
                  <w:vAlign w:val="center"/>
                </w:tcPr>
                <w:p>
                  <w:pPr>
                    <w:jc w:val="center"/>
                    <w:rPr>
                      <w:szCs w:val="21"/>
                    </w:rPr>
                  </w:pPr>
                  <w:r>
                    <w:rPr>
                      <w:rFonts w:hint="eastAsia"/>
                      <w:szCs w:val="21"/>
                    </w:rPr>
                    <w:t>4</w:t>
                  </w:r>
                </w:p>
              </w:tc>
              <w:tc>
                <w:tcPr>
                  <w:tcW w:w="1079" w:type="pct"/>
                  <w:vAlign w:val="center"/>
                </w:tcPr>
                <w:p>
                  <w:pPr>
                    <w:jc w:val="center"/>
                    <w:rPr>
                      <w:szCs w:val="21"/>
                    </w:rPr>
                  </w:pPr>
                  <w:r>
                    <w:rPr>
                      <w:rFonts w:hint="eastAsia"/>
                      <w:szCs w:val="21"/>
                    </w:rPr>
                    <w:t>75</w:t>
                  </w:r>
                </w:p>
              </w:tc>
              <w:tc>
                <w:tcPr>
                  <w:tcW w:w="1254" w:type="pct"/>
                  <w:vAlign w:val="center"/>
                </w:tcPr>
                <w:p>
                  <w:pPr>
                    <w:jc w:val="center"/>
                    <w:rPr>
                      <w:szCs w:val="21"/>
                    </w:rPr>
                  </w:pPr>
                  <w:r>
                    <w:rPr>
                      <w:rFonts w:hint="eastAsia"/>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rFonts w:hint="eastAsia"/>
                      <w:szCs w:val="21"/>
                    </w:rPr>
                    <w:t>10</w:t>
                  </w:r>
                </w:p>
              </w:tc>
              <w:tc>
                <w:tcPr>
                  <w:tcW w:w="1425" w:type="pct"/>
                  <w:vAlign w:val="center"/>
                </w:tcPr>
                <w:p>
                  <w:pPr>
                    <w:snapToGrid w:val="0"/>
                    <w:spacing w:line="320" w:lineRule="exact"/>
                    <w:jc w:val="center"/>
                    <w:rPr>
                      <w:color w:val="000000"/>
                      <w:szCs w:val="21"/>
                    </w:rPr>
                  </w:pPr>
                  <w:r>
                    <w:rPr>
                      <w:rFonts w:hint="eastAsia"/>
                      <w:color w:val="000000"/>
                      <w:szCs w:val="21"/>
                    </w:rPr>
                    <w:t>风机</w:t>
                  </w:r>
                </w:p>
              </w:tc>
              <w:tc>
                <w:tcPr>
                  <w:tcW w:w="616" w:type="pct"/>
                  <w:vAlign w:val="center"/>
                </w:tcPr>
                <w:p>
                  <w:pPr>
                    <w:jc w:val="center"/>
                    <w:rPr>
                      <w:szCs w:val="21"/>
                    </w:rPr>
                  </w:pPr>
                  <w:r>
                    <w:rPr>
                      <w:rFonts w:hint="eastAsia"/>
                      <w:szCs w:val="21"/>
                    </w:rPr>
                    <w:t>2</w:t>
                  </w:r>
                </w:p>
              </w:tc>
              <w:tc>
                <w:tcPr>
                  <w:tcW w:w="1079" w:type="pct"/>
                  <w:vAlign w:val="center"/>
                </w:tcPr>
                <w:p>
                  <w:pPr>
                    <w:jc w:val="center"/>
                    <w:rPr>
                      <w:szCs w:val="21"/>
                    </w:rPr>
                  </w:pPr>
                  <w:r>
                    <w:rPr>
                      <w:rFonts w:hint="eastAsia"/>
                      <w:szCs w:val="21"/>
                    </w:rPr>
                    <w:t>85</w:t>
                  </w:r>
                </w:p>
              </w:tc>
              <w:tc>
                <w:tcPr>
                  <w:tcW w:w="1254" w:type="pct"/>
                  <w:vAlign w:val="center"/>
                </w:tcPr>
                <w:p>
                  <w:pPr>
                    <w:jc w:val="center"/>
                    <w:rPr>
                      <w:szCs w:val="21"/>
                    </w:rPr>
                  </w:pPr>
                  <w:r>
                    <w:rPr>
                      <w:rFonts w:hint="eastAsia"/>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4" w:type="pct"/>
                  <w:vAlign w:val="center"/>
                </w:tcPr>
                <w:p>
                  <w:pPr>
                    <w:jc w:val="center"/>
                    <w:rPr>
                      <w:szCs w:val="21"/>
                    </w:rPr>
                  </w:pPr>
                  <w:r>
                    <w:rPr>
                      <w:rFonts w:hint="eastAsia"/>
                      <w:szCs w:val="21"/>
                    </w:rPr>
                    <w:t>11</w:t>
                  </w:r>
                </w:p>
              </w:tc>
              <w:tc>
                <w:tcPr>
                  <w:tcW w:w="1425" w:type="pct"/>
                  <w:vAlign w:val="center"/>
                </w:tcPr>
                <w:p>
                  <w:pPr>
                    <w:snapToGrid w:val="0"/>
                    <w:spacing w:line="320" w:lineRule="exact"/>
                    <w:jc w:val="center"/>
                    <w:rPr>
                      <w:color w:val="000000"/>
                      <w:szCs w:val="21"/>
                    </w:rPr>
                  </w:pPr>
                  <w:r>
                    <w:rPr>
                      <w:rFonts w:hint="eastAsia"/>
                      <w:color w:val="000000"/>
                      <w:szCs w:val="21"/>
                    </w:rPr>
                    <w:t>空压机</w:t>
                  </w:r>
                </w:p>
              </w:tc>
              <w:tc>
                <w:tcPr>
                  <w:tcW w:w="616" w:type="pct"/>
                  <w:vAlign w:val="center"/>
                </w:tcPr>
                <w:p>
                  <w:pPr>
                    <w:jc w:val="center"/>
                    <w:rPr>
                      <w:szCs w:val="21"/>
                    </w:rPr>
                  </w:pPr>
                  <w:r>
                    <w:rPr>
                      <w:rFonts w:hint="eastAsia"/>
                      <w:szCs w:val="21"/>
                    </w:rPr>
                    <w:t>2</w:t>
                  </w:r>
                </w:p>
              </w:tc>
              <w:tc>
                <w:tcPr>
                  <w:tcW w:w="1079" w:type="pct"/>
                  <w:vAlign w:val="center"/>
                </w:tcPr>
                <w:p>
                  <w:pPr>
                    <w:jc w:val="center"/>
                    <w:rPr>
                      <w:szCs w:val="21"/>
                    </w:rPr>
                  </w:pPr>
                  <w:r>
                    <w:rPr>
                      <w:rFonts w:hint="eastAsia"/>
                      <w:szCs w:val="21"/>
                    </w:rPr>
                    <w:t>85</w:t>
                  </w:r>
                </w:p>
              </w:tc>
              <w:tc>
                <w:tcPr>
                  <w:tcW w:w="1254" w:type="pct"/>
                  <w:vAlign w:val="center"/>
                </w:tcPr>
                <w:p>
                  <w:pPr>
                    <w:jc w:val="center"/>
                    <w:rPr>
                      <w:szCs w:val="21"/>
                    </w:rPr>
                  </w:pPr>
                  <w:r>
                    <w:rPr>
                      <w:rFonts w:hint="eastAsia"/>
                      <w:szCs w:val="21"/>
                    </w:rPr>
                    <w:t>5</w:t>
                  </w:r>
                </w:p>
              </w:tc>
            </w:tr>
          </w:tbl>
          <w:p>
            <w:pPr>
              <w:tabs>
                <w:tab w:val="left" w:pos="0"/>
              </w:tabs>
              <w:spacing w:line="360" w:lineRule="auto"/>
              <w:ind w:firstLine="480" w:firstLineChars="200"/>
              <w:rPr>
                <w:bCs/>
                <w:color w:val="000000"/>
                <w:sz w:val="24"/>
              </w:rPr>
            </w:pPr>
            <w:r>
              <w:rPr>
                <w:bCs/>
                <w:color w:val="000000"/>
                <w:sz w:val="24"/>
              </w:rPr>
              <w:t>（2）噪声环境影响分析</w:t>
            </w:r>
          </w:p>
          <w:p>
            <w:pPr>
              <w:tabs>
                <w:tab w:val="left" w:pos="0"/>
              </w:tabs>
              <w:spacing w:line="360" w:lineRule="auto"/>
              <w:ind w:firstLine="480" w:firstLineChars="200"/>
              <w:rPr>
                <w:bCs/>
                <w:color w:val="000000"/>
                <w:sz w:val="24"/>
              </w:rPr>
            </w:pPr>
            <w:r>
              <w:rPr>
                <w:bCs/>
                <w:color w:val="000000"/>
                <w:sz w:val="24"/>
              </w:rPr>
              <w:t>根据声环境评价导则的规定，选用预测模式，应用过程中将根据具体情况作必要简化。</w:t>
            </w:r>
          </w:p>
          <w:p>
            <w:pPr>
              <w:tabs>
                <w:tab w:val="left" w:pos="0"/>
              </w:tabs>
              <w:spacing w:line="360" w:lineRule="auto"/>
              <w:ind w:firstLine="480" w:firstLineChars="200"/>
              <w:rPr>
                <w:bCs/>
                <w:color w:val="000000"/>
                <w:sz w:val="24"/>
              </w:rPr>
            </w:pPr>
            <w:r>
              <w:rPr>
                <w:rFonts w:hint="eastAsia"/>
                <w:bCs/>
                <w:color w:val="000000"/>
                <w:sz w:val="24"/>
              </w:rPr>
              <w:t>①</w:t>
            </w:r>
            <w:r>
              <w:rPr>
                <w:bCs/>
                <w:color w:val="000000"/>
                <w:sz w:val="24"/>
              </w:rPr>
              <w:t>预测模式</w:t>
            </w:r>
          </w:p>
          <w:p>
            <w:pPr>
              <w:tabs>
                <w:tab w:val="left" w:pos="0"/>
              </w:tabs>
              <w:spacing w:line="360" w:lineRule="auto"/>
              <w:ind w:firstLine="480" w:firstLineChars="200"/>
              <w:rPr>
                <w:bCs/>
                <w:color w:val="000000"/>
                <w:sz w:val="24"/>
              </w:rPr>
            </w:pPr>
            <w:r>
              <w:rPr>
                <w:bCs/>
                <w:color w:val="000000"/>
                <w:sz w:val="24"/>
              </w:rPr>
              <w:t>A、室内声源等效室外声源声功率级计算方法</w:t>
            </w:r>
          </w:p>
          <w:p>
            <w:pPr>
              <w:tabs>
                <w:tab w:val="left" w:pos="0"/>
              </w:tabs>
              <w:spacing w:line="360" w:lineRule="auto"/>
              <w:ind w:firstLine="480" w:firstLineChars="200"/>
              <w:rPr>
                <w:bCs/>
                <w:color w:val="000000"/>
                <w:sz w:val="24"/>
              </w:rPr>
            </w:pPr>
            <w:r>
              <w:rPr>
                <w:bCs/>
                <w:color w:val="000000"/>
                <w:sz w:val="24"/>
              </w:rPr>
              <w:t>声源位于室内，室内声源可采用等效室外声源声功率级法进行计算。设靠近开口处（或窗户）室内、室外某倍频带的声压级分别为LP1和LP2。若声源所在室内声场为近似扩散声场，则室外的倍频带声压级可按以下计算公式如下：</w:t>
            </w:r>
          </w:p>
          <w:p>
            <w:pPr>
              <w:tabs>
                <w:tab w:val="left" w:pos="0"/>
              </w:tabs>
              <w:spacing w:line="360" w:lineRule="auto"/>
              <w:ind w:firstLine="480" w:firstLineChars="200"/>
              <w:rPr>
                <w:bCs/>
                <w:color w:val="000000"/>
                <w:sz w:val="24"/>
              </w:rPr>
            </w:pPr>
            <w:r>
              <w:rPr>
                <w:bCs/>
                <w:color w:val="000000"/>
                <w:sz w:val="24"/>
              </w:rPr>
              <w:drawing>
                <wp:inline distT="0" distB="0" distL="114300" distR="114300">
                  <wp:extent cx="1380490" cy="295275"/>
                  <wp:effectExtent l="0" t="0" r="3810" b="9525"/>
                  <wp:docPr id="17" name="图片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2"/>
                          <pic:cNvPicPr>
                            <a:picLocks noChangeAspect="1"/>
                          </pic:cNvPicPr>
                        </pic:nvPicPr>
                        <pic:blipFill>
                          <a:blip r:embed="rId11"/>
                          <a:stretch>
                            <a:fillRect/>
                          </a:stretch>
                        </pic:blipFill>
                        <pic:spPr>
                          <a:xfrm>
                            <a:off x="0" y="0"/>
                            <a:ext cx="1380490" cy="295275"/>
                          </a:xfrm>
                          <a:prstGeom prst="rect">
                            <a:avLst/>
                          </a:prstGeom>
                          <a:noFill/>
                          <a:ln>
                            <a:noFill/>
                          </a:ln>
                        </pic:spPr>
                      </pic:pic>
                    </a:graphicData>
                  </a:graphic>
                </wp:inline>
              </w:drawing>
            </w:r>
          </w:p>
          <w:p>
            <w:pPr>
              <w:tabs>
                <w:tab w:val="left" w:pos="0"/>
              </w:tabs>
              <w:spacing w:line="360" w:lineRule="auto"/>
              <w:ind w:firstLine="480" w:firstLineChars="200"/>
              <w:rPr>
                <w:bCs/>
                <w:color w:val="000000"/>
                <w:sz w:val="24"/>
              </w:rPr>
            </w:pPr>
            <w:r>
              <w:rPr>
                <w:bCs/>
                <w:color w:val="000000"/>
                <w:sz w:val="24"/>
              </w:rPr>
              <w:t>式中：TL—隔墙（或窗户）倍频带的隔声量，dB；</w:t>
            </w:r>
          </w:p>
          <w:p>
            <w:pPr>
              <w:tabs>
                <w:tab w:val="left" w:pos="0"/>
              </w:tabs>
              <w:spacing w:line="360" w:lineRule="auto"/>
              <w:ind w:firstLine="480" w:firstLineChars="200"/>
              <w:rPr>
                <w:bCs/>
                <w:color w:val="000000"/>
                <w:sz w:val="24"/>
              </w:rPr>
            </w:pPr>
            <w:r>
              <w:rPr>
                <w:bCs/>
                <w:color w:val="000000"/>
                <w:sz w:val="24"/>
              </w:rPr>
              <w:t>按下式计算某一室内声源靠近围护结构处产生的倍频带声压级：</w:t>
            </w:r>
          </w:p>
          <w:p>
            <w:pPr>
              <w:tabs>
                <w:tab w:val="left" w:pos="0"/>
              </w:tabs>
              <w:spacing w:line="360" w:lineRule="auto"/>
              <w:ind w:firstLine="480" w:firstLineChars="200"/>
              <w:rPr>
                <w:bCs/>
                <w:color w:val="000000"/>
                <w:sz w:val="24"/>
              </w:rPr>
            </w:pPr>
            <w:r>
              <w:rPr>
                <w:bCs/>
                <w:color w:val="000000"/>
                <w:sz w:val="24"/>
              </w:rPr>
              <w:drawing>
                <wp:inline distT="0" distB="0" distL="114300" distR="114300">
                  <wp:extent cx="1723390" cy="409575"/>
                  <wp:effectExtent l="0" t="0" r="3810" b="9525"/>
                  <wp:docPr id="10" name="图片 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3"/>
                          <pic:cNvPicPr>
                            <a:picLocks noChangeAspect="1"/>
                          </pic:cNvPicPr>
                        </pic:nvPicPr>
                        <pic:blipFill>
                          <a:blip r:embed="rId12"/>
                          <a:stretch>
                            <a:fillRect/>
                          </a:stretch>
                        </pic:blipFill>
                        <pic:spPr>
                          <a:xfrm>
                            <a:off x="0" y="0"/>
                            <a:ext cx="1723390" cy="409575"/>
                          </a:xfrm>
                          <a:prstGeom prst="rect">
                            <a:avLst/>
                          </a:prstGeom>
                          <a:noFill/>
                          <a:ln>
                            <a:noFill/>
                          </a:ln>
                        </pic:spPr>
                      </pic:pic>
                    </a:graphicData>
                  </a:graphic>
                </wp:inline>
              </w:drawing>
            </w:r>
          </w:p>
          <w:p>
            <w:pPr>
              <w:tabs>
                <w:tab w:val="left" w:pos="0"/>
              </w:tabs>
              <w:spacing w:line="360" w:lineRule="auto"/>
              <w:ind w:firstLine="480" w:firstLineChars="200"/>
              <w:rPr>
                <w:bCs/>
                <w:color w:val="000000"/>
                <w:sz w:val="24"/>
              </w:rPr>
            </w:pPr>
            <w:r>
              <w:rPr>
                <w:bCs/>
                <w:color w:val="000000"/>
                <w:sz w:val="24"/>
              </w:rPr>
              <w:t>式中：Q—指向性因数，通常对无指向性声源，当声源放在房间中心时，Q=1；当放在一面墙的中心时，Q=2；当放在两面墙夹角处时，Q=4；当放在三面墙夹角处时，Q=8；</w:t>
            </w:r>
          </w:p>
          <w:p>
            <w:pPr>
              <w:tabs>
                <w:tab w:val="left" w:pos="0"/>
              </w:tabs>
              <w:spacing w:line="360" w:lineRule="auto"/>
              <w:ind w:firstLine="480" w:firstLineChars="200"/>
              <w:rPr>
                <w:bCs/>
                <w:color w:val="000000"/>
                <w:sz w:val="24"/>
              </w:rPr>
            </w:pPr>
            <w:r>
              <w:rPr>
                <w:bCs/>
                <w:color w:val="000000"/>
                <w:sz w:val="24"/>
              </w:rPr>
              <w:t>R—房间常数，</w:t>
            </w:r>
            <w:r>
              <w:rPr>
                <w:bCs/>
                <w:color w:val="000000"/>
                <w:sz w:val="24"/>
              </w:rPr>
              <w:drawing>
                <wp:inline distT="0" distB="0" distL="114300" distR="114300">
                  <wp:extent cx="962025" cy="209550"/>
                  <wp:effectExtent l="0" t="0" r="3175" b="6350"/>
                  <wp:docPr id="18" name="图片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4"/>
                          <pic:cNvPicPr>
                            <a:picLocks noChangeAspect="1"/>
                          </pic:cNvPicPr>
                        </pic:nvPicPr>
                        <pic:blipFill>
                          <a:blip r:embed="rId13"/>
                          <a:stretch>
                            <a:fillRect/>
                          </a:stretch>
                        </pic:blipFill>
                        <pic:spPr>
                          <a:xfrm>
                            <a:off x="0" y="0"/>
                            <a:ext cx="962025" cy="209550"/>
                          </a:xfrm>
                          <a:prstGeom prst="rect">
                            <a:avLst/>
                          </a:prstGeom>
                          <a:noFill/>
                          <a:ln>
                            <a:noFill/>
                          </a:ln>
                        </pic:spPr>
                      </pic:pic>
                    </a:graphicData>
                  </a:graphic>
                </wp:inline>
              </w:drawing>
            </w:r>
            <w:r>
              <w:rPr>
                <w:bCs/>
                <w:color w:val="000000"/>
                <w:sz w:val="24"/>
              </w:rPr>
              <w:t>， S 为房间内表面面积，m2，α 为平均吸声系数；</w:t>
            </w:r>
          </w:p>
          <w:p>
            <w:pPr>
              <w:tabs>
                <w:tab w:val="left" w:pos="0"/>
              </w:tabs>
              <w:spacing w:line="360" w:lineRule="auto"/>
              <w:ind w:firstLine="480" w:firstLineChars="200"/>
              <w:rPr>
                <w:bCs/>
                <w:color w:val="000000"/>
                <w:sz w:val="24"/>
              </w:rPr>
            </w:pPr>
            <w:r>
              <w:rPr>
                <w:bCs/>
                <w:color w:val="000000"/>
                <w:sz w:val="24"/>
              </w:rPr>
              <w:t>r—声源到靠近围护结构某点处的距离，m。</w:t>
            </w:r>
          </w:p>
          <w:p>
            <w:pPr>
              <w:tabs>
                <w:tab w:val="left" w:pos="0"/>
              </w:tabs>
              <w:spacing w:line="360" w:lineRule="auto"/>
              <w:ind w:firstLine="480" w:firstLineChars="200"/>
              <w:rPr>
                <w:bCs/>
                <w:color w:val="000000"/>
                <w:sz w:val="24"/>
              </w:rPr>
            </w:pPr>
            <w:r>
              <w:rPr>
                <w:bCs/>
                <w:color w:val="000000"/>
                <w:sz w:val="24"/>
              </w:rPr>
              <w:t>然后按下式计算出所有室内声源在围护结构处产生的i倍频带叠加声压级</w:t>
            </w:r>
          </w:p>
          <w:p>
            <w:pPr>
              <w:tabs>
                <w:tab w:val="left" w:pos="0"/>
              </w:tabs>
              <w:spacing w:line="360" w:lineRule="auto"/>
              <w:ind w:firstLine="480" w:firstLineChars="200"/>
              <w:rPr>
                <w:bCs/>
                <w:color w:val="000000"/>
                <w:sz w:val="24"/>
              </w:rPr>
            </w:pPr>
            <w:r>
              <w:rPr>
                <w:bCs/>
                <w:color w:val="000000"/>
                <w:sz w:val="24"/>
              </w:rPr>
              <w:drawing>
                <wp:inline distT="0" distB="0" distL="114300" distR="114300">
                  <wp:extent cx="1724025" cy="438150"/>
                  <wp:effectExtent l="0" t="0" r="3175" b="6350"/>
                  <wp:docPr id="15" name="图片 1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descr="5"/>
                          <pic:cNvPicPr>
                            <a:picLocks noChangeAspect="1"/>
                          </pic:cNvPicPr>
                        </pic:nvPicPr>
                        <pic:blipFill>
                          <a:blip r:embed="rId14"/>
                          <a:stretch>
                            <a:fillRect/>
                          </a:stretch>
                        </pic:blipFill>
                        <pic:spPr>
                          <a:xfrm>
                            <a:off x="0" y="0"/>
                            <a:ext cx="1724025" cy="438150"/>
                          </a:xfrm>
                          <a:prstGeom prst="rect">
                            <a:avLst/>
                          </a:prstGeom>
                          <a:noFill/>
                          <a:ln>
                            <a:noFill/>
                          </a:ln>
                        </pic:spPr>
                      </pic:pic>
                    </a:graphicData>
                  </a:graphic>
                </wp:inline>
              </w:drawing>
            </w:r>
          </w:p>
          <w:p>
            <w:pPr>
              <w:tabs>
                <w:tab w:val="left" w:pos="0"/>
              </w:tabs>
              <w:spacing w:line="360" w:lineRule="auto"/>
              <w:ind w:firstLine="480" w:firstLineChars="200"/>
              <w:rPr>
                <w:bCs/>
                <w:color w:val="000000"/>
                <w:sz w:val="24"/>
              </w:rPr>
            </w:pPr>
            <w:r>
              <w:rPr>
                <w:bCs/>
                <w:color w:val="000000"/>
                <w:sz w:val="24"/>
              </w:rPr>
              <w:t>式中：LP1i—靠近围护结构处室内 N个声源i倍频带的叠加声压级，dB；</w:t>
            </w:r>
          </w:p>
          <w:p>
            <w:pPr>
              <w:tabs>
                <w:tab w:val="left" w:pos="0"/>
              </w:tabs>
              <w:spacing w:line="360" w:lineRule="auto"/>
              <w:ind w:firstLine="480" w:firstLineChars="200"/>
              <w:rPr>
                <w:bCs/>
                <w:color w:val="000000"/>
                <w:sz w:val="24"/>
              </w:rPr>
            </w:pPr>
            <w:r>
              <w:rPr>
                <w:bCs/>
                <w:color w:val="000000"/>
                <w:sz w:val="24"/>
              </w:rPr>
              <w:t>LP1ij—室内 j声源i倍频带的声压级，dB；</w:t>
            </w:r>
          </w:p>
          <w:p>
            <w:pPr>
              <w:tabs>
                <w:tab w:val="left" w:pos="0"/>
              </w:tabs>
              <w:spacing w:line="360" w:lineRule="auto"/>
              <w:ind w:firstLine="480" w:firstLineChars="200"/>
              <w:rPr>
                <w:bCs/>
                <w:color w:val="000000"/>
                <w:sz w:val="24"/>
              </w:rPr>
            </w:pPr>
            <w:r>
              <w:rPr>
                <w:bCs/>
                <w:color w:val="000000"/>
                <w:sz w:val="24"/>
              </w:rPr>
              <w:t>N—室内声源总数；</w:t>
            </w:r>
          </w:p>
          <w:p>
            <w:pPr>
              <w:tabs>
                <w:tab w:val="left" w:pos="0"/>
              </w:tabs>
              <w:spacing w:line="360" w:lineRule="auto"/>
              <w:ind w:firstLine="480" w:firstLineChars="200"/>
              <w:rPr>
                <w:bCs/>
                <w:color w:val="000000"/>
                <w:sz w:val="24"/>
              </w:rPr>
            </w:pPr>
            <w:r>
              <w:rPr>
                <w:bCs/>
                <w:color w:val="000000"/>
                <w:sz w:val="24"/>
              </w:rPr>
              <w:t>然后按下式将室外声源的声压级和透过面积换算成等效的室外声源，计算出中心位置位于透声面积（S）处的等效声源的倍频带声功率级。</w:t>
            </w:r>
          </w:p>
          <w:p>
            <w:pPr>
              <w:tabs>
                <w:tab w:val="left" w:pos="0"/>
              </w:tabs>
              <w:spacing w:line="360" w:lineRule="auto"/>
              <w:ind w:firstLine="480" w:firstLineChars="200"/>
              <w:rPr>
                <w:bCs/>
                <w:color w:val="000000"/>
                <w:sz w:val="24"/>
              </w:rPr>
            </w:pPr>
            <w:r>
              <w:rPr>
                <w:bCs/>
                <w:color w:val="000000"/>
                <w:sz w:val="24"/>
              </w:rPr>
              <w:drawing>
                <wp:inline distT="0" distB="0" distL="114300" distR="114300">
                  <wp:extent cx="1295400" cy="295275"/>
                  <wp:effectExtent l="0" t="0" r="0" b="9525"/>
                  <wp:docPr id="1" name="图片 1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descr="6"/>
                          <pic:cNvPicPr>
                            <a:picLocks noChangeAspect="1"/>
                          </pic:cNvPicPr>
                        </pic:nvPicPr>
                        <pic:blipFill>
                          <a:blip r:embed="rId15"/>
                          <a:stretch>
                            <a:fillRect/>
                          </a:stretch>
                        </pic:blipFill>
                        <pic:spPr>
                          <a:xfrm>
                            <a:off x="0" y="0"/>
                            <a:ext cx="1295400" cy="295275"/>
                          </a:xfrm>
                          <a:prstGeom prst="rect">
                            <a:avLst/>
                          </a:prstGeom>
                          <a:noFill/>
                          <a:ln>
                            <a:noFill/>
                          </a:ln>
                        </pic:spPr>
                      </pic:pic>
                    </a:graphicData>
                  </a:graphic>
                </wp:inline>
              </w:drawing>
            </w:r>
          </w:p>
          <w:p>
            <w:pPr>
              <w:tabs>
                <w:tab w:val="left" w:pos="0"/>
              </w:tabs>
              <w:spacing w:line="360" w:lineRule="auto"/>
              <w:ind w:firstLine="480" w:firstLineChars="200"/>
              <w:rPr>
                <w:bCs/>
                <w:color w:val="000000"/>
                <w:sz w:val="24"/>
              </w:rPr>
            </w:pPr>
            <w:r>
              <w:rPr>
                <w:bCs/>
                <w:color w:val="000000"/>
                <w:sz w:val="24"/>
              </w:rPr>
              <w:t>然后按室外声源预测方法计算预测点处的 A声级。</w:t>
            </w:r>
          </w:p>
          <w:p>
            <w:pPr>
              <w:tabs>
                <w:tab w:val="left" w:pos="0"/>
              </w:tabs>
              <w:spacing w:line="360" w:lineRule="auto"/>
              <w:ind w:firstLine="480" w:firstLineChars="200"/>
              <w:rPr>
                <w:bCs/>
                <w:color w:val="000000"/>
                <w:sz w:val="24"/>
              </w:rPr>
            </w:pPr>
            <w:r>
              <w:rPr>
                <w:bCs/>
                <w:color w:val="000000"/>
                <w:sz w:val="24"/>
              </w:rPr>
              <w:t>B、噪声贡献值计算</w:t>
            </w:r>
          </w:p>
          <w:p>
            <w:pPr>
              <w:tabs>
                <w:tab w:val="left" w:pos="0"/>
              </w:tabs>
              <w:spacing w:line="360" w:lineRule="auto"/>
              <w:ind w:firstLine="480" w:firstLineChars="200"/>
              <w:rPr>
                <w:bCs/>
                <w:color w:val="000000"/>
                <w:sz w:val="24"/>
              </w:rPr>
            </w:pPr>
            <w:r>
              <w:rPr>
                <w:bCs/>
                <w:color w:val="000000"/>
                <w:sz w:val="24"/>
              </w:rPr>
              <w:t>设第i个室外声源在预测点产生的 A 声级为LAi，在 T 时间内该声源工作时间为ti；第 j 个等效室外声源在预测点产生的 A声级为LAj，在 T 时间内该声源工作时间为tj，则拟建工程声源对预测点产生的贡献值（Leqg）为：</w:t>
            </w:r>
          </w:p>
          <w:p>
            <w:pPr>
              <w:tabs>
                <w:tab w:val="left" w:pos="0"/>
              </w:tabs>
              <w:spacing w:line="360" w:lineRule="auto"/>
              <w:ind w:firstLine="480" w:firstLineChars="200"/>
              <w:rPr>
                <w:bCs/>
                <w:color w:val="000000"/>
                <w:sz w:val="24"/>
              </w:rPr>
            </w:pPr>
            <w:r>
              <w:rPr>
                <w:bCs/>
                <w:color w:val="000000"/>
                <w:sz w:val="24"/>
              </w:rPr>
              <w:drawing>
                <wp:inline distT="0" distB="0" distL="114300" distR="114300">
                  <wp:extent cx="2313940" cy="466725"/>
                  <wp:effectExtent l="0" t="0" r="10160" b="3175"/>
                  <wp:docPr id="16" name="图片 1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7"/>
                          <pic:cNvPicPr>
                            <a:picLocks noChangeAspect="1"/>
                          </pic:cNvPicPr>
                        </pic:nvPicPr>
                        <pic:blipFill>
                          <a:blip r:embed="rId16"/>
                          <a:stretch>
                            <a:fillRect/>
                          </a:stretch>
                        </pic:blipFill>
                        <pic:spPr>
                          <a:xfrm>
                            <a:off x="0" y="0"/>
                            <a:ext cx="2313940" cy="466725"/>
                          </a:xfrm>
                          <a:prstGeom prst="rect">
                            <a:avLst/>
                          </a:prstGeom>
                          <a:noFill/>
                          <a:ln>
                            <a:noFill/>
                          </a:ln>
                        </pic:spPr>
                      </pic:pic>
                    </a:graphicData>
                  </a:graphic>
                </wp:inline>
              </w:drawing>
            </w:r>
          </w:p>
          <w:p>
            <w:pPr>
              <w:tabs>
                <w:tab w:val="left" w:pos="0"/>
              </w:tabs>
              <w:spacing w:line="360" w:lineRule="auto"/>
              <w:ind w:firstLine="480" w:firstLineChars="200"/>
              <w:rPr>
                <w:bCs/>
                <w:color w:val="000000"/>
                <w:sz w:val="24"/>
              </w:rPr>
            </w:pPr>
            <w:r>
              <w:rPr>
                <w:bCs/>
                <w:color w:val="000000"/>
                <w:sz w:val="24"/>
              </w:rPr>
              <w:t>式中：tj—在 T 时间内 j 声源工作时间，s；</w:t>
            </w:r>
          </w:p>
          <w:p>
            <w:pPr>
              <w:tabs>
                <w:tab w:val="left" w:pos="0"/>
              </w:tabs>
              <w:spacing w:line="360" w:lineRule="auto"/>
              <w:ind w:firstLine="480" w:firstLineChars="200"/>
              <w:rPr>
                <w:bCs/>
                <w:color w:val="000000"/>
                <w:sz w:val="24"/>
              </w:rPr>
            </w:pPr>
            <w:r>
              <w:rPr>
                <w:bCs/>
                <w:color w:val="000000"/>
                <w:sz w:val="24"/>
              </w:rPr>
              <w:t>ti—在 T 时间内 i 声源工作时间，s；</w:t>
            </w:r>
          </w:p>
          <w:p>
            <w:pPr>
              <w:tabs>
                <w:tab w:val="left" w:pos="0"/>
              </w:tabs>
              <w:spacing w:line="360" w:lineRule="auto"/>
              <w:ind w:firstLine="480" w:firstLineChars="200"/>
              <w:rPr>
                <w:bCs/>
                <w:color w:val="000000"/>
                <w:sz w:val="24"/>
              </w:rPr>
            </w:pPr>
            <w:r>
              <w:rPr>
                <w:bCs/>
                <w:color w:val="000000"/>
                <w:sz w:val="24"/>
              </w:rPr>
              <w:t>T—用于计算等效声级的时间，s；</w:t>
            </w:r>
          </w:p>
          <w:p>
            <w:pPr>
              <w:tabs>
                <w:tab w:val="left" w:pos="0"/>
              </w:tabs>
              <w:spacing w:line="360" w:lineRule="auto"/>
              <w:ind w:firstLine="480" w:firstLineChars="200"/>
              <w:rPr>
                <w:bCs/>
                <w:color w:val="000000"/>
                <w:sz w:val="24"/>
              </w:rPr>
            </w:pPr>
            <w:r>
              <w:rPr>
                <w:bCs/>
                <w:color w:val="000000"/>
                <w:sz w:val="24"/>
              </w:rPr>
              <w:t>N—室外声源个数；</w:t>
            </w:r>
          </w:p>
          <w:p>
            <w:pPr>
              <w:tabs>
                <w:tab w:val="left" w:pos="0"/>
              </w:tabs>
              <w:spacing w:line="360" w:lineRule="auto"/>
              <w:ind w:firstLine="480" w:firstLineChars="200"/>
              <w:rPr>
                <w:bCs/>
                <w:color w:val="000000"/>
                <w:sz w:val="24"/>
              </w:rPr>
            </w:pPr>
            <w:r>
              <w:rPr>
                <w:bCs/>
                <w:color w:val="000000"/>
                <w:sz w:val="24"/>
              </w:rPr>
              <w:t>M—等效室外声源个数。</w:t>
            </w:r>
          </w:p>
          <w:p>
            <w:pPr>
              <w:tabs>
                <w:tab w:val="left" w:pos="0"/>
              </w:tabs>
              <w:spacing w:line="360" w:lineRule="auto"/>
              <w:ind w:firstLine="480" w:firstLineChars="200"/>
              <w:rPr>
                <w:bCs/>
                <w:color w:val="000000"/>
                <w:sz w:val="24"/>
              </w:rPr>
            </w:pPr>
            <w:r>
              <w:rPr>
                <w:bCs/>
                <w:color w:val="000000"/>
                <w:sz w:val="24"/>
              </w:rPr>
              <w:t>C、预测值计算</w:t>
            </w:r>
          </w:p>
          <w:p>
            <w:pPr>
              <w:tabs>
                <w:tab w:val="left" w:pos="0"/>
              </w:tabs>
              <w:spacing w:line="360" w:lineRule="auto"/>
              <w:ind w:firstLine="480" w:firstLineChars="200"/>
              <w:rPr>
                <w:bCs/>
                <w:color w:val="000000"/>
                <w:sz w:val="24"/>
              </w:rPr>
            </w:pPr>
            <w:r>
              <w:rPr>
                <w:bCs/>
                <w:color w:val="000000"/>
                <w:sz w:val="24"/>
              </w:rPr>
              <w:t>预测点的预测等效声级(Leq)计算公式：</w:t>
            </w:r>
          </w:p>
          <w:p>
            <w:pPr>
              <w:tabs>
                <w:tab w:val="left" w:pos="0"/>
              </w:tabs>
              <w:spacing w:line="360" w:lineRule="auto"/>
              <w:ind w:firstLine="480" w:firstLineChars="200"/>
              <w:rPr>
                <w:bCs/>
                <w:color w:val="000000"/>
                <w:sz w:val="24"/>
              </w:rPr>
            </w:pPr>
            <w:r>
              <w:rPr>
                <w:bCs/>
                <w:color w:val="000000"/>
                <w:sz w:val="24"/>
              </w:rPr>
              <w:drawing>
                <wp:inline distT="0" distB="0" distL="114300" distR="114300">
                  <wp:extent cx="2094865" cy="314325"/>
                  <wp:effectExtent l="0" t="0" r="635" b="3175"/>
                  <wp:docPr id="5" name="图片 1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descr="8"/>
                          <pic:cNvPicPr>
                            <a:picLocks noChangeAspect="1"/>
                          </pic:cNvPicPr>
                        </pic:nvPicPr>
                        <pic:blipFill>
                          <a:blip r:embed="rId17"/>
                          <a:stretch>
                            <a:fillRect/>
                          </a:stretch>
                        </pic:blipFill>
                        <pic:spPr>
                          <a:xfrm>
                            <a:off x="0" y="0"/>
                            <a:ext cx="2094865" cy="314325"/>
                          </a:xfrm>
                          <a:prstGeom prst="rect">
                            <a:avLst/>
                          </a:prstGeom>
                          <a:noFill/>
                          <a:ln>
                            <a:noFill/>
                          </a:ln>
                        </pic:spPr>
                      </pic:pic>
                    </a:graphicData>
                  </a:graphic>
                </wp:inline>
              </w:drawing>
            </w:r>
          </w:p>
          <w:p>
            <w:pPr>
              <w:tabs>
                <w:tab w:val="left" w:pos="0"/>
              </w:tabs>
              <w:spacing w:line="360" w:lineRule="auto"/>
              <w:ind w:firstLine="480" w:firstLineChars="200"/>
              <w:rPr>
                <w:bCs/>
                <w:color w:val="000000"/>
                <w:sz w:val="24"/>
              </w:rPr>
            </w:pPr>
            <w:r>
              <w:rPr>
                <w:bCs/>
                <w:color w:val="000000"/>
                <w:sz w:val="24"/>
              </w:rPr>
              <w:t>式中：Leqg—建设项目声源在预测点的等效声级贡献值，dB(A)；</w:t>
            </w:r>
          </w:p>
          <w:p>
            <w:pPr>
              <w:tabs>
                <w:tab w:val="left" w:pos="0"/>
              </w:tabs>
              <w:spacing w:line="360" w:lineRule="auto"/>
              <w:ind w:firstLine="480" w:firstLineChars="200"/>
              <w:rPr>
                <w:bCs/>
                <w:color w:val="000000"/>
                <w:sz w:val="24"/>
              </w:rPr>
            </w:pPr>
            <w:r>
              <w:rPr>
                <w:bCs/>
                <w:color w:val="000000"/>
                <w:sz w:val="24"/>
              </w:rPr>
              <w:t>Leqb—预测点的背景值，dB(A)；</w:t>
            </w:r>
          </w:p>
          <w:p>
            <w:pPr>
              <w:tabs>
                <w:tab w:val="left" w:pos="0"/>
              </w:tabs>
              <w:spacing w:line="360" w:lineRule="auto"/>
              <w:ind w:firstLine="480" w:firstLineChars="200"/>
              <w:rPr>
                <w:bCs/>
                <w:color w:val="000000"/>
                <w:sz w:val="24"/>
              </w:rPr>
            </w:pPr>
            <w:r>
              <w:rPr>
                <w:bCs/>
                <w:color w:val="000000"/>
                <w:sz w:val="24"/>
              </w:rPr>
              <w:t>（2）噪声影响预测</w:t>
            </w:r>
          </w:p>
          <w:p>
            <w:pPr>
              <w:tabs>
                <w:tab w:val="left" w:pos="0"/>
              </w:tabs>
              <w:spacing w:line="360" w:lineRule="auto"/>
              <w:ind w:firstLine="480" w:firstLineChars="200"/>
              <w:rPr>
                <w:bCs/>
                <w:color w:val="000000"/>
                <w:sz w:val="24"/>
              </w:rPr>
            </w:pPr>
            <w:r>
              <w:rPr>
                <w:bCs/>
                <w:color w:val="000000"/>
                <w:sz w:val="24"/>
              </w:rPr>
              <w:t>根据上述模式结合项目平面布置情况预测，计算得到各预测点的噪声预测值如下表所示：</w:t>
            </w:r>
          </w:p>
          <w:p>
            <w:pPr>
              <w:ind w:firstLine="422" w:firstLineChars="200"/>
              <w:jc w:val="center"/>
              <w:rPr>
                <w:b/>
                <w:color w:val="000000"/>
              </w:rPr>
            </w:pPr>
            <w:r>
              <w:rPr>
                <w:b/>
                <w:color w:val="000000"/>
              </w:rPr>
              <w:t>表</w:t>
            </w:r>
            <w:r>
              <w:rPr>
                <w:rFonts w:hint="eastAsia"/>
                <w:b/>
                <w:color w:val="000000"/>
              </w:rPr>
              <w:t>4-19  老厂区</w:t>
            </w:r>
            <w:r>
              <w:rPr>
                <w:b/>
                <w:color w:val="000000"/>
              </w:rPr>
              <w:t>厂界噪声预测结果  dB（A）</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1307"/>
              <w:gridCol w:w="1018"/>
              <w:gridCol w:w="1018"/>
              <w:gridCol w:w="1016"/>
              <w:gridCol w:w="871"/>
              <w:gridCol w:w="1016"/>
              <w:gridCol w:w="911"/>
              <w:gridCol w:w="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52" w:type="pct"/>
                  <w:vMerge w:val="restart"/>
                  <w:vAlign w:val="center"/>
                </w:tcPr>
                <w:p>
                  <w:pPr>
                    <w:jc w:val="center"/>
                    <w:rPr>
                      <w:b/>
                      <w:color w:val="000000"/>
                      <w:szCs w:val="21"/>
                    </w:rPr>
                  </w:pPr>
                  <w:r>
                    <w:rPr>
                      <w:b/>
                      <w:color w:val="000000"/>
                      <w:szCs w:val="21"/>
                    </w:rPr>
                    <w:t>测点号</w:t>
                  </w:r>
                </w:p>
              </w:tc>
              <w:tc>
                <w:tcPr>
                  <w:tcW w:w="721" w:type="pct"/>
                  <w:vMerge w:val="restart"/>
                  <w:vAlign w:val="center"/>
                </w:tcPr>
                <w:p>
                  <w:pPr>
                    <w:jc w:val="center"/>
                    <w:rPr>
                      <w:b/>
                      <w:color w:val="000000"/>
                      <w:szCs w:val="21"/>
                    </w:rPr>
                  </w:pPr>
                  <w:r>
                    <w:rPr>
                      <w:b/>
                      <w:color w:val="000000"/>
                      <w:szCs w:val="21"/>
                    </w:rPr>
                    <w:t>测点位置</w:t>
                  </w:r>
                </w:p>
              </w:tc>
              <w:tc>
                <w:tcPr>
                  <w:tcW w:w="561" w:type="pct"/>
                  <w:vMerge w:val="restart"/>
                  <w:vAlign w:val="center"/>
                </w:tcPr>
                <w:p>
                  <w:pPr>
                    <w:jc w:val="center"/>
                    <w:rPr>
                      <w:b/>
                      <w:color w:val="000000"/>
                      <w:szCs w:val="21"/>
                    </w:rPr>
                  </w:pPr>
                  <w:r>
                    <w:rPr>
                      <w:b/>
                      <w:color w:val="000000"/>
                      <w:szCs w:val="21"/>
                    </w:rPr>
                    <w:t>贡献值</w:t>
                  </w:r>
                </w:p>
              </w:tc>
              <w:tc>
                <w:tcPr>
                  <w:tcW w:w="1121" w:type="pct"/>
                  <w:gridSpan w:val="2"/>
                  <w:vAlign w:val="center"/>
                </w:tcPr>
                <w:p>
                  <w:pPr>
                    <w:jc w:val="center"/>
                    <w:rPr>
                      <w:b/>
                      <w:color w:val="000000"/>
                      <w:szCs w:val="21"/>
                    </w:rPr>
                  </w:pPr>
                  <w:r>
                    <w:rPr>
                      <w:b/>
                      <w:color w:val="000000"/>
                      <w:szCs w:val="21"/>
                    </w:rPr>
                    <w:t>现状值</w:t>
                  </w:r>
                </w:p>
              </w:tc>
              <w:tc>
                <w:tcPr>
                  <w:tcW w:w="1040" w:type="pct"/>
                  <w:gridSpan w:val="2"/>
                  <w:vAlign w:val="center"/>
                </w:tcPr>
                <w:p>
                  <w:pPr>
                    <w:jc w:val="center"/>
                    <w:rPr>
                      <w:b/>
                      <w:color w:val="000000"/>
                      <w:szCs w:val="21"/>
                    </w:rPr>
                  </w:pPr>
                  <w:r>
                    <w:rPr>
                      <w:b/>
                      <w:color w:val="000000"/>
                      <w:szCs w:val="21"/>
                    </w:rPr>
                    <w:t>叠加值</w:t>
                  </w:r>
                </w:p>
              </w:tc>
              <w:tc>
                <w:tcPr>
                  <w:tcW w:w="1005" w:type="pct"/>
                  <w:gridSpan w:val="2"/>
                  <w:vAlign w:val="center"/>
                </w:tcPr>
                <w:p>
                  <w:pPr>
                    <w:jc w:val="center"/>
                    <w:rPr>
                      <w:b/>
                      <w:color w:val="000000"/>
                      <w:szCs w:val="21"/>
                    </w:rPr>
                  </w:pPr>
                  <w:r>
                    <w:rPr>
                      <w:b/>
                      <w:color w:val="000000"/>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52" w:type="pct"/>
                  <w:vMerge w:val="continue"/>
                  <w:vAlign w:val="center"/>
                </w:tcPr>
                <w:p>
                  <w:pPr>
                    <w:jc w:val="center"/>
                    <w:rPr>
                      <w:b/>
                      <w:color w:val="000000"/>
                      <w:szCs w:val="21"/>
                    </w:rPr>
                  </w:pPr>
                </w:p>
              </w:tc>
              <w:tc>
                <w:tcPr>
                  <w:tcW w:w="721" w:type="pct"/>
                  <w:vMerge w:val="continue"/>
                  <w:vAlign w:val="center"/>
                </w:tcPr>
                <w:p>
                  <w:pPr>
                    <w:jc w:val="center"/>
                    <w:rPr>
                      <w:b/>
                      <w:color w:val="000000"/>
                      <w:szCs w:val="21"/>
                    </w:rPr>
                  </w:pPr>
                </w:p>
              </w:tc>
              <w:tc>
                <w:tcPr>
                  <w:tcW w:w="561" w:type="pct"/>
                  <w:vMerge w:val="continue"/>
                  <w:vAlign w:val="center"/>
                </w:tcPr>
                <w:p>
                  <w:pPr>
                    <w:jc w:val="center"/>
                    <w:rPr>
                      <w:b/>
                      <w:color w:val="000000"/>
                      <w:szCs w:val="21"/>
                    </w:rPr>
                  </w:pPr>
                </w:p>
              </w:tc>
              <w:tc>
                <w:tcPr>
                  <w:tcW w:w="561" w:type="pct"/>
                  <w:vAlign w:val="center"/>
                </w:tcPr>
                <w:p>
                  <w:pPr>
                    <w:jc w:val="center"/>
                    <w:rPr>
                      <w:b/>
                      <w:color w:val="000000"/>
                      <w:szCs w:val="21"/>
                    </w:rPr>
                  </w:pPr>
                  <w:r>
                    <w:rPr>
                      <w:b/>
                      <w:color w:val="000000"/>
                      <w:szCs w:val="21"/>
                    </w:rPr>
                    <w:t>昼</w:t>
                  </w:r>
                </w:p>
              </w:tc>
              <w:tc>
                <w:tcPr>
                  <w:tcW w:w="560" w:type="pct"/>
                  <w:vAlign w:val="center"/>
                </w:tcPr>
                <w:p>
                  <w:pPr>
                    <w:jc w:val="center"/>
                    <w:rPr>
                      <w:b/>
                      <w:color w:val="000000"/>
                      <w:szCs w:val="21"/>
                    </w:rPr>
                  </w:pPr>
                  <w:r>
                    <w:rPr>
                      <w:b/>
                      <w:color w:val="000000"/>
                      <w:szCs w:val="21"/>
                    </w:rPr>
                    <w:t>夜</w:t>
                  </w:r>
                </w:p>
              </w:tc>
              <w:tc>
                <w:tcPr>
                  <w:tcW w:w="480" w:type="pct"/>
                  <w:vAlign w:val="center"/>
                </w:tcPr>
                <w:p>
                  <w:pPr>
                    <w:jc w:val="center"/>
                    <w:rPr>
                      <w:b/>
                      <w:color w:val="000000"/>
                      <w:szCs w:val="21"/>
                    </w:rPr>
                  </w:pPr>
                  <w:r>
                    <w:rPr>
                      <w:b/>
                      <w:color w:val="000000"/>
                      <w:szCs w:val="21"/>
                    </w:rPr>
                    <w:t>昼</w:t>
                  </w:r>
                </w:p>
              </w:tc>
              <w:tc>
                <w:tcPr>
                  <w:tcW w:w="560" w:type="pct"/>
                  <w:vAlign w:val="center"/>
                </w:tcPr>
                <w:p>
                  <w:pPr>
                    <w:jc w:val="center"/>
                    <w:rPr>
                      <w:b/>
                      <w:color w:val="000000"/>
                      <w:szCs w:val="21"/>
                    </w:rPr>
                  </w:pPr>
                  <w:r>
                    <w:rPr>
                      <w:b/>
                      <w:color w:val="000000"/>
                      <w:szCs w:val="21"/>
                    </w:rPr>
                    <w:t>夜</w:t>
                  </w:r>
                </w:p>
              </w:tc>
              <w:tc>
                <w:tcPr>
                  <w:tcW w:w="502" w:type="pct"/>
                  <w:vAlign w:val="center"/>
                </w:tcPr>
                <w:p>
                  <w:pPr>
                    <w:jc w:val="center"/>
                    <w:rPr>
                      <w:b/>
                      <w:color w:val="000000"/>
                      <w:szCs w:val="21"/>
                    </w:rPr>
                  </w:pPr>
                  <w:r>
                    <w:rPr>
                      <w:b/>
                      <w:color w:val="000000"/>
                      <w:szCs w:val="21"/>
                    </w:rPr>
                    <w:t>昼</w:t>
                  </w:r>
                </w:p>
              </w:tc>
              <w:tc>
                <w:tcPr>
                  <w:tcW w:w="503" w:type="pct"/>
                  <w:vAlign w:val="center"/>
                </w:tcPr>
                <w:p>
                  <w:pPr>
                    <w:jc w:val="center"/>
                    <w:rPr>
                      <w:b/>
                      <w:color w:val="000000"/>
                      <w:szCs w:val="21"/>
                    </w:rPr>
                  </w:pPr>
                  <w:r>
                    <w:rPr>
                      <w:b/>
                      <w:color w:val="000000"/>
                      <w:szCs w:val="21"/>
                    </w:rPr>
                    <w:t>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52" w:type="pct"/>
                  <w:vAlign w:val="center"/>
                </w:tcPr>
                <w:p>
                  <w:pPr>
                    <w:jc w:val="center"/>
                    <w:rPr>
                      <w:color w:val="000000"/>
                      <w:szCs w:val="21"/>
                    </w:rPr>
                  </w:pPr>
                  <w:r>
                    <w:rPr>
                      <w:rFonts w:hint="eastAsia"/>
                      <w:color w:val="000000"/>
                      <w:szCs w:val="21"/>
                    </w:rPr>
                    <w:t>北</w:t>
                  </w:r>
                </w:p>
              </w:tc>
              <w:tc>
                <w:tcPr>
                  <w:tcW w:w="721" w:type="pct"/>
                  <w:vAlign w:val="center"/>
                </w:tcPr>
                <w:p>
                  <w:pPr>
                    <w:jc w:val="center"/>
                    <w:rPr>
                      <w:color w:val="000000"/>
                      <w:szCs w:val="21"/>
                    </w:rPr>
                  </w:pPr>
                  <w:r>
                    <w:rPr>
                      <w:color w:val="000000"/>
                      <w:szCs w:val="21"/>
                    </w:rPr>
                    <w:t>厂界外1m</w:t>
                  </w:r>
                </w:p>
              </w:tc>
              <w:tc>
                <w:tcPr>
                  <w:tcW w:w="561" w:type="pct"/>
                  <w:vAlign w:val="center"/>
                </w:tcPr>
                <w:p>
                  <w:pPr>
                    <w:jc w:val="center"/>
                    <w:rPr>
                      <w:color w:val="000000"/>
                      <w:szCs w:val="21"/>
                    </w:rPr>
                  </w:pPr>
                  <w:r>
                    <w:rPr>
                      <w:color w:val="000000"/>
                      <w:szCs w:val="21"/>
                    </w:rPr>
                    <w:t>28.4</w:t>
                  </w:r>
                </w:p>
              </w:tc>
              <w:tc>
                <w:tcPr>
                  <w:tcW w:w="890" w:type="dxa"/>
                  <w:vAlign w:val="center"/>
                </w:tcPr>
                <w:p>
                  <w:pPr>
                    <w:tabs>
                      <w:tab w:val="left" w:pos="0"/>
                    </w:tabs>
                    <w:adjustRightInd w:val="0"/>
                    <w:snapToGrid w:val="0"/>
                    <w:jc w:val="center"/>
                    <w:rPr>
                      <w:color w:val="000000"/>
                      <w:szCs w:val="21"/>
                    </w:rPr>
                  </w:pPr>
                  <w:r>
                    <w:rPr>
                      <w:rFonts w:hint="eastAsia"/>
                      <w:color w:val="000000"/>
                      <w:spacing w:val="4"/>
                      <w:szCs w:val="21"/>
                    </w:rPr>
                    <w:t>60.8</w:t>
                  </w:r>
                </w:p>
              </w:tc>
              <w:tc>
                <w:tcPr>
                  <w:tcW w:w="889" w:type="dxa"/>
                  <w:vAlign w:val="center"/>
                </w:tcPr>
                <w:p>
                  <w:pPr>
                    <w:tabs>
                      <w:tab w:val="left" w:pos="0"/>
                    </w:tabs>
                    <w:adjustRightInd w:val="0"/>
                    <w:snapToGrid w:val="0"/>
                    <w:jc w:val="center"/>
                    <w:rPr>
                      <w:color w:val="000000"/>
                      <w:szCs w:val="21"/>
                    </w:rPr>
                  </w:pPr>
                  <w:r>
                    <w:rPr>
                      <w:rFonts w:hint="eastAsia"/>
                      <w:color w:val="000000"/>
                      <w:spacing w:val="4"/>
                      <w:szCs w:val="21"/>
                    </w:rPr>
                    <w:t>51.4</w:t>
                  </w:r>
                </w:p>
              </w:tc>
              <w:tc>
                <w:tcPr>
                  <w:tcW w:w="480" w:type="pct"/>
                  <w:vAlign w:val="center"/>
                </w:tcPr>
                <w:p>
                  <w:pPr>
                    <w:jc w:val="center"/>
                    <w:rPr>
                      <w:color w:val="000000"/>
                      <w:szCs w:val="21"/>
                    </w:rPr>
                  </w:pPr>
                  <w:r>
                    <w:rPr>
                      <w:rFonts w:hint="eastAsia"/>
                      <w:color w:val="000000"/>
                      <w:szCs w:val="21"/>
                    </w:rPr>
                    <w:t>61.2</w:t>
                  </w:r>
                </w:p>
              </w:tc>
              <w:tc>
                <w:tcPr>
                  <w:tcW w:w="560" w:type="pct"/>
                  <w:vAlign w:val="center"/>
                </w:tcPr>
                <w:p>
                  <w:pPr>
                    <w:jc w:val="center"/>
                    <w:rPr>
                      <w:color w:val="000000"/>
                      <w:szCs w:val="21"/>
                    </w:rPr>
                  </w:pPr>
                  <w:r>
                    <w:rPr>
                      <w:rFonts w:hint="eastAsia"/>
                      <w:color w:val="000000"/>
                      <w:szCs w:val="21"/>
                    </w:rPr>
                    <w:t>51.8</w:t>
                  </w:r>
                </w:p>
              </w:tc>
              <w:tc>
                <w:tcPr>
                  <w:tcW w:w="502" w:type="pct"/>
                  <w:vAlign w:val="center"/>
                </w:tcPr>
                <w:p>
                  <w:pPr>
                    <w:jc w:val="center"/>
                    <w:rPr>
                      <w:color w:val="000000"/>
                      <w:szCs w:val="21"/>
                    </w:rPr>
                  </w:pPr>
                  <w:r>
                    <w:rPr>
                      <w:color w:val="000000"/>
                      <w:szCs w:val="21"/>
                    </w:rPr>
                    <w:t>65</w:t>
                  </w:r>
                </w:p>
              </w:tc>
              <w:tc>
                <w:tcPr>
                  <w:tcW w:w="503" w:type="pct"/>
                  <w:vAlign w:val="center"/>
                </w:tcPr>
                <w:p>
                  <w:pPr>
                    <w:jc w:val="center"/>
                    <w:rPr>
                      <w:color w:val="000000"/>
                      <w:szCs w:val="21"/>
                    </w:rPr>
                  </w:pPr>
                  <w:r>
                    <w:rPr>
                      <w:color w:val="00000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76" w:type="dxa"/>
                  <w:vAlign w:val="center"/>
                </w:tcPr>
                <w:p>
                  <w:pPr>
                    <w:jc w:val="center"/>
                    <w:rPr>
                      <w:color w:val="000000"/>
                      <w:szCs w:val="21"/>
                    </w:rPr>
                  </w:pPr>
                  <w:r>
                    <w:rPr>
                      <w:color w:val="000000"/>
                      <w:szCs w:val="21"/>
                    </w:rPr>
                    <w:t>东</w:t>
                  </w:r>
                </w:p>
              </w:tc>
              <w:tc>
                <w:tcPr>
                  <w:tcW w:w="721" w:type="pct"/>
                  <w:vAlign w:val="center"/>
                </w:tcPr>
                <w:p>
                  <w:pPr>
                    <w:jc w:val="center"/>
                    <w:rPr>
                      <w:color w:val="000000"/>
                      <w:szCs w:val="21"/>
                    </w:rPr>
                  </w:pPr>
                  <w:r>
                    <w:rPr>
                      <w:color w:val="000000"/>
                      <w:szCs w:val="21"/>
                    </w:rPr>
                    <w:t>厂界外1m</w:t>
                  </w:r>
                </w:p>
              </w:tc>
              <w:tc>
                <w:tcPr>
                  <w:tcW w:w="561" w:type="pct"/>
                  <w:vAlign w:val="center"/>
                </w:tcPr>
                <w:p>
                  <w:pPr>
                    <w:jc w:val="center"/>
                    <w:rPr>
                      <w:color w:val="000000"/>
                      <w:szCs w:val="21"/>
                    </w:rPr>
                  </w:pPr>
                  <w:r>
                    <w:rPr>
                      <w:color w:val="000000"/>
                      <w:szCs w:val="21"/>
                    </w:rPr>
                    <w:t>34.52</w:t>
                  </w:r>
                </w:p>
              </w:tc>
              <w:tc>
                <w:tcPr>
                  <w:tcW w:w="890" w:type="dxa"/>
                  <w:vAlign w:val="center"/>
                </w:tcPr>
                <w:p>
                  <w:pPr>
                    <w:tabs>
                      <w:tab w:val="left" w:pos="0"/>
                    </w:tabs>
                    <w:adjustRightInd w:val="0"/>
                    <w:snapToGrid w:val="0"/>
                    <w:jc w:val="center"/>
                    <w:rPr>
                      <w:color w:val="000000"/>
                      <w:szCs w:val="21"/>
                    </w:rPr>
                  </w:pPr>
                  <w:r>
                    <w:rPr>
                      <w:rFonts w:hint="eastAsia"/>
                      <w:color w:val="000000"/>
                      <w:spacing w:val="4"/>
                      <w:szCs w:val="21"/>
                    </w:rPr>
                    <w:t>58.4</w:t>
                  </w:r>
                </w:p>
              </w:tc>
              <w:tc>
                <w:tcPr>
                  <w:tcW w:w="889" w:type="dxa"/>
                  <w:vAlign w:val="center"/>
                </w:tcPr>
                <w:p>
                  <w:pPr>
                    <w:tabs>
                      <w:tab w:val="left" w:pos="0"/>
                    </w:tabs>
                    <w:adjustRightInd w:val="0"/>
                    <w:snapToGrid w:val="0"/>
                    <w:jc w:val="center"/>
                    <w:rPr>
                      <w:color w:val="000000"/>
                      <w:szCs w:val="21"/>
                    </w:rPr>
                  </w:pPr>
                  <w:r>
                    <w:rPr>
                      <w:rFonts w:hint="eastAsia"/>
                      <w:color w:val="000000"/>
                      <w:spacing w:val="4"/>
                      <w:szCs w:val="21"/>
                    </w:rPr>
                    <w:t>51.0</w:t>
                  </w:r>
                </w:p>
              </w:tc>
              <w:tc>
                <w:tcPr>
                  <w:tcW w:w="480" w:type="pct"/>
                  <w:vAlign w:val="center"/>
                </w:tcPr>
                <w:p>
                  <w:pPr>
                    <w:jc w:val="center"/>
                    <w:rPr>
                      <w:color w:val="000000"/>
                      <w:szCs w:val="21"/>
                    </w:rPr>
                  </w:pPr>
                  <w:r>
                    <w:rPr>
                      <w:rFonts w:hint="eastAsia"/>
                      <w:color w:val="000000"/>
                      <w:szCs w:val="21"/>
                    </w:rPr>
                    <w:t>58.6</w:t>
                  </w:r>
                </w:p>
              </w:tc>
              <w:tc>
                <w:tcPr>
                  <w:tcW w:w="560" w:type="pct"/>
                  <w:vAlign w:val="center"/>
                </w:tcPr>
                <w:p>
                  <w:pPr>
                    <w:jc w:val="center"/>
                    <w:rPr>
                      <w:color w:val="000000"/>
                      <w:szCs w:val="21"/>
                    </w:rPr>
                  </w:pPr>
                  <w:r>
                    <w:rPr>
                      <w:rFonts w:hint="eastAsia"/>
                      <w:color w:val="000000"/>
                      <w:szCs w:val="21"/>
                    </w:rPr>
                    <w:t>51.2</w:t>
                  </w:r>
                </w:p>
              </w:tc>
              <w:tc>
                <w:tcPr>
                  <w:tcW w:w="502" w:type="pct"/>
                  <w:vAlign w:val="center"/>
                </w:tcPr>
                <w:p>
                  <w:pPr>
                    <w:jc w:val="center"/>
                    <w:rPr>
                      <w:color w:val="000000"/>
                      <w:szCs w:val="21"/>
                    </w:rPr>
                  </w:pPr>
                  <w:r>
                    <w:rPr>
                      <w:color w:val="000000"/>
                      <w:szCs w:val="21"/>
                    </w:rPr>
                    <w:t>65</w:t>
                  </w:r>
                </w:p>
              </w:tc>
              <w:tc>
                <w:tcPr>
                  <w:tcW w:w="503" w:type="pct"/>
                  <w:vAlign w:val="center"/>
                </w:tcPr>
                <w:p>
                  <w:pPr>
                    <w:jc w:val="center"/>
                    <w:rPr>
                      <w:color w:val="000000"/>
                      <w:szCs w:val="21"/>
                    </w:rPr>
                  </w:pPr>
                  <w:r>
                    <w:rPr>
                      <w:color w:val="00000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76" w:type="dxa"/>
                  <w:vAlign w:val="center"/>
                </w:tcPr>
                <w:p>
                  <w:pPr>
                    <w:jc w:val="center"/>
                    <w:rPr>
                      <w:color w:val="000000"/>
                      <w:szCs w:val="21"/>
                    </w:rPr>
                  </w:pPr>
                  <w:r>
                    <w:rPr>
                      <w:color w:val="000000"/>
                      <w:szCs w:val="21"/>
                    </w:rPr>
                    <w:t>南</w:t>
                  </w:r>
                </w:p>
              </w:tc>
              <w:tc>
                <w:tcPr>
                  <w:tcW w:w="721" w:type="pct"/>
                  <w:vAlign w:val="center"/>
                </w:tcPr>
                <w:p>
                  <w:pPr>
                    <w:jc w:val="center"/>
                    <w:rPr>
                      <w:color w:val="000000"/>
                      <w:szCs w:val="21"/>
                    </w:rPr>
                  </w:pPr>
                  <w:r>
                    <w:rPr>
                      <w:color w:val="000000"/>
                      <w:szCs w:val="21"/>
                    </w:rPr>
                    <w:t>厂界外1m</w:t>
                  </w:r>
                </w:p>
              </w:tc>
              <w:tc>
                <w:tcPr>
                  <w:tcW w:w="561" w:type="pct"/>
                  <w:vAlign w:val="center"/>
                </w:tcPr>
                <w:p>
                  <w:pPr>
                    <w:jc w:val="center"/>
                    <w:rPr>
                      <w:color w:val="000000"/>
                      <w:szCs w:val="21"/>
                    </w:rPr>
                  </w:pPr>
                  <w:r>
                    <w:rPr>
                      <w:color w:val="000000"/>
                      <w:szCs w:val="21"/>
                    </w:rPr>
                    <w:t>26.42</w:t>
                  </w:r>
                </w:p>
              </w:tc>
              <w:tc>
                <w:tcPr>
                  <w:tcW w:w="890" w:type="dxa"/>
                  <w:vAlign w:val="center"/>
                </w:tcPr>
                <w:p>
                  <w:pPr>
                    <w:tabs>
                      <w:tab w:val="left" w:pos="0"/>
                    </w:tabs>
                    <w:adjustRightInd w:val="0"/>
                    <w:snapToGrid w:val="0"/>
                    <w:jc w:val="center"/>
                    <w:rPr>
                      <w:color w:val="000000"/>
                      <w:szCs w:val="21"/>
                    </w:rPr>
                  </w:pPr>
                  <w:r>
                    <w:rPr>
                      <w:rFonts w:hint="eastAsia"/>
                      <w:color w:val="000000"/>
                      <w:spacing w:val="4"/>
                      <w:szCs w:val="21"/>
                    </w:rPr>
                    <w:t>57.6</w:t>
                  </w:r>
                </w:p>
              </w:tc>
              <w:tc>
                <w:tcPr>
                  <w:tcW w:w="889" w:type="dxa"/>
                  <w:vAlign w:val="center"/>
                </w:tcPr>
                <w:p>
                  <w:pPr>
                    <w:tabs>
                      <w:tab w:val="left" w:pos="0"/>
                    </w:tabs>
                    <w:adjustRightInd w:val="0"/>
                    <w:snapToGrid w:val="0"/>
                    <w:jc w:val="center"/>
                    <w:rPr>
                      <w:color w:val="000000"/>
                      <w:szCs w:val="21"/>
                    </w:rPr>
                  </w:pPr>
                  <w:r>
                    <w:rPr>
                      <w:rFonts w:hint="eastAsia"/>
                      <w:color w:val="000000"/>
                      <w:spacing w:val="4"/>
                      <w:szCs w:val="21"/>
                    </w:rPr>
                    <w:t>48.8</w:t>
                  </w:r>
                </w:p>
              </w:tc>
              <w:tc>
                <w:tcPr>
                  <w:tcW w:w="480" w:type="pct"/>
                  <w:vAlign w:val="center"/>
                </w:tcPr>
                <w:p>
                  <w:pPr>
                    <w:jc w:val="center"/>
                    <w:rPr>
                      <w:color w:val="000000"/>
                      <w:szCs w:val="21"/>
                    </w:rPr>
                  </w:pPr>
                  <w:r>
                    <w:rPr>
                      <w:rFonts w:hint="eastAsia"/>
                      <w:color w:val="000000"/>
                      <w:szCs w:val="21"/>
                    </w:rPr>
                    <w:t>58.2</w:t>
                  </w:r>
                </w:p>
              </w:tc>
              <w:tc>
                <w:tcPr>
                  <w:tcW w:w="560" w:type="pct"/>
                  <w:vAlign w:val="center"/>
                </w:tcPr>
                <w:p>
                  <w:pPr>
                    <w:jc w:val="center"/>
                    <w:rPr>
                      <w:color w:val="000000"/>
                      <w:szCs w:val="21"/>
                    </w:rPr>
                  </w:pPr>
                  <w:r>
                    <w:rPr>
                      <w:color w:val="000000"/>
                      <w:szCs w:val="21"/>
                    </w:rPr>
                    <w:t>4</w:t>
                  </w:r>
                  <w:r>
                    <w:rPr>
                      <w:rFonts w:hint="eastAsia"/>
                      <w:color w:val="000000"/>
                      <w:szCs w:val="21"/>
                    </w:rPr>
                    <w:t>9.6</w:t>
                  </w:r>
                </w:p>
              </w:tc>
              <w:tc>
                <w:tcPr>
                  <w:tcW w:w="502" w:type="pct"/>
                  <w:vAlign w:val="center"/>
                </w:tcPr>
                <w:p>
                  <w:pPr>
                    <w:jc w:val="center"/>
                    <w:rPr>
                      <w:color w:val="000000"/>
                      <w:szCs w:val="21"/>
                    </w:rPr>
                  </w:pPr>
                  <w:r>
                    <w:rPr>
                      <w:color w:val="000000"/>
                      <w:szCs w:val="21"/>
                    </w:rPr>
                    <w:t>65</w:t>
                  </w:r>
                </w:p>
              </w:tc>
              <w:tc>
                <w:tcPr>
                  <w:tcW w:w="503" w:type="pct"/>
                  <w:vAlign w:val="center"/>
                </w:tcPr>
                <w:p>
                  <w:pPr>
                    <w:jc w:val="center"/>
                    <w:rPr>
                      <w:color w:val="000000"/>
                      <w:szCs w:val="21"/>
                    </w:rPr>
                  </w:pPr>
                  <w:r>
                    <w:rPr>
                      <w:color w:val="00000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76" w:type="dxa"/>
                  <w:vAlign w:val="center"/>
                </w:tcPr>
                <w:p>
                  <w:pPr>
                    <w:jc w:val="center"/>
                    <w:rPr>
                      <w:color w:val="000000"/>
                      <w:szCs w:val="21"/>
                    </w:rPr>
                  </w:pPr>
                  <w:r>
                    <w:rPr>
                      <w:color w:val="000000"/>
                      <w:szCs w:val="21"/>
                    </w:rPr>
                    <w:t>西</w:t>
                  </w:r>
                </w:p>
              </w:tc>
              <w:tc>
                <w:tcPr>
                  <w:tcW w:w="721" w:type="pct"/>
                  <w:vAlign w:val="center"/>
                </w:tcPr>
                <w:p>
                  <w:pPr>
                    <w:jc w:val="center"/>
                    <w:rPr>
                      <w:color w:val="000000"/>
                      <w:szCs w:val="21"/>
                    </w:rPr>
                  </w:pPr>
                  <w:r>
                    <w:rPr>
                      <w:color w:val="000000"/>
                      <w:szCs w:val="21"/>
                    </w:rPr>
                    <w:t>厂界外1m</w:t>
                  </w:r>
                </w:p>
              </w:tc>
              <w:tc>
                <w:tcPr>
                  <w:tcW w:w="561" w:type="pct"/>
                  <w:vAlign w:val="center"/>
                </w:tcPr>
                <w:p>
                  <w:pPr>
                    <w:jc w:val="center"/>
                    <w:rPr>
                      <w:color w:val="000000"/>
                      <w:szCs w:val="21"/>
                    </w:rPr>
                  </w:pPr>
                  <w:r>
                    <w:rPr>
                      <w:color w:val="000000"/>
                      <w:szCs w:val="21"/>
                    </w:rPr>
                    <w:t>28.76</w:t>
                  </w:r>
                </w:p>
              </w:tc>
              <w:tc>
                <w:tcPr>
                  <w:tcW w:w="890" w:type="dxa"/>
                  <w:vAlign w:val="center"/>
                </w:tcPr>
                <w:p>
                  <w:pPr>
                    <w:tabs>
                      <w:tab w:val="left" w:pos="0"/>
                    </w:tabs>
                    <w:adjustRightInd w:val="0"/>
                    <w:snapToGrid w:val="0"/>
                    <w:jc w:val="center"/>
                    <w:rPr>
                      <w:color w:val="000000"/>
                      <w:szCs w:val="21"/>
                    </w:rPr>
                  </w:pPr>
                  <w:r>
                    <w:rPr>
                      <w:rFonts w:hint="eastAsia"/>
                      <w:color w:val="000000"/>
                      <w:spacing w:val="4"/>
                      <w:szCs w:val="21"/>
                    </w:rPr>
                    <w:t>62.1</w:t>
                  </w:r>
                </w:p>
              </w:tc>
              <w:tc>
                <w:tcPr>
                  <w:tcW w:w="889" w:type="dxa"/>
                  <w:vAlign w:val="center"/>
                </w:tcPr>
                <w:p>
                  <w:pPr>
                    <w:tabs>
                      <w:tab w:val="left" w:pos="0"/>
                    </w:tabs>
                    <w:adjustRightInd w:val="0"/>
                    <w:snapToGrid w:val="0"/>
                    <w:jc w:val="center"/>
                    <w:rPr>
                      <w:color w:val="000000"/>
                      <w:szCs w:val="21"/>
                    </w:rPr>
                  </w:pPr>
                  <w:r>
                    <w:rPr>
                      <w:rFonts w:hint="eastAsia"/>
                      <w:color w:val="000000"/>
                      <w:spacing w:val="4"/>
                      <w:szCs w:val="21"/>
                    </w:rPr>
                    <w:t>51.7</w:t>
                  </w:r>
                </w:p>
              </w:tc>
              <w:tc>
                <w:tcPr>
                  <w:tcW w:w="480" w:type="pct"/>
                  <w:vAlign w:val="center"/>
                </w:tcPr>
                <w:p>
                  <w:pPr>
                    <w:jc w:val="center"/>
                    <w:rPr>
                      <w:color w:val="000000"/>
                      <w:szCs w:val="21"/>
                    </w:rPr>
                  </w:pPr>
                  <w:r>
                    <w:rPr>
                      <w:rFonts w:hint="eastAsia"/>
                      <w:color w:val="000000"/>
                      <w:szCs w:val="21"/>
                    </w:rPr>
                    <w:t>62.6</w:t>
                  </w:r>
                </w:p>
              </w:tc>
              <w:tc>
                <w:tcPr>
                  <w:tcW w:w="560" w:type="pct"/>
                  <w:vAlign w:val="center"/>
                </w:tcPr>
                <w:p>
                  <w:pPr>
                    <w:jc w:val="center"/>
                    <w:rPr>
                      <w:color w:val="000000"/>
                      <w:szCs w:val="21"/>
                    </w:rPr>
                  </w:pPr>
                  <w:r>
                    <w:rPr>
                      <w:rFonts w:hint="eastAsia"/>
                      <w:color w:val="000000"/>
                      <w:szCs w:val="21"/>
                    </w:rPr>
                    <w:t>52.2</w:t>
                  </w:r>
                </w:p>
              </w:tc>
              <w:tc>
                <w:tcPr>
                  <w:tcW w:w="502" w:type="pct"/>
                  <w:vAlign w:val="center"/>
                </w:tcPr>
                <w:p>
                  <w:pPr>
                    <w:jc w:val="center"/>
                    <w:rPr>
                      <w:color w:val="000000"/>
                      <w:szCs w:val="21"/>
                    </w:rPr>
                  </w:pPr>
                  <w:r>
                    <w:rPr>
                      <w:color w:val="000000"/>
                      <w:szCs w:val="21"/>
                    </w:rPr>
                    <w:t>65</w:t>
                  </w:r>
                </w:p>
              </w:tc>
              <w:tc>
                <w:tcPr>
                  <w:tcW w:w="503" w:type="pct"/>
                  <w:vAlign w:val="center"/>
                </w:tcPr>
                <w:p>
                  <w:pPr>
                    <w:jc w:val="center"/>
                    <w:rPr>
                      <w:color w:val="000000"/>
                      <w:szCs w:val="21"/>
                    </w:rPr>
                  </w:pPr>
                  <w:r>
                    <w:rPr>
                      <w:color w:val="000000"/>
                      <w:szCs w:val="21"/>
                    </w:rPr>
                    <w:t>55</w:t>
                  </w:r>
                </w:p>
              </w:tc>
            </w:tr>
          </w:tbl>
          <w:p>
            <w:pPr>
              <w:tabs>
                <w:tab w:val="left" w:pos="0"/>
              </w:tabs>
              <w:spacing w:line="360" w:lineRule="auto"/>
              <w:jc w:val="left"/>
              <w:rPr>
                <w:b/>
                <w:color w:val="000000"/>
                <w:sz w:val="24"/>
              </w:rPr>
            </w:pPr>
            <w:r>
              <w:rPr>
                <w:b/>
                <w:color w:val="000000"/>
                <w:sz w:val="24"/>
              </w:rPr>
              <w:t>4.3.2噪声监测要求</w:t>
            </w:r>
          </w:p>
          <w:p>
            <w:pPr>
              <w:tabs>
                <w:tab w:val="left" w:pos="0"/>
              </w:tabs>
              <w:spacing w:line="360" w:lineRule="auto"/>
              <w:ind w:firstLine="480"/>
              <w:rPr>
                <w:color w:val="000000"/>
                <w:sz w:val="24"/>
              </w:rPr>
            </w:pPr>
            <w:r>
              <w:rPr>
                <w:color w:val="000000"/>
                <w:sz w:val="24"/>
              </w:rPr>
              <w:t>根据《排污单位自行监测技术指南 总则》（HJ819-2017），制定本项目噪声监测计划如下：</w:t>
            </w:r>
          </w:p>
          <w:p>
            <w:pPr>
              <w:pStyle w:val="70"/>
              <w:rPr>
                <w:color w:val="000000"/>
              </w:rPr>
            </w:pPr>
            <w:r>
              <w:rPr>
                <w:color w:val="000000"/>
              </w:rPr>
              <w:t>表4-20 项目噪声监测计划</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7"/>
              <w:gridCol w:w="2016"/>
              <w:gridCol w:w="2257"/>
              <w:gridCol w:w="3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02" w:type="pct"/>
                  <w:vAlign w:val="center"/>
                </w:tcPr>
                <w:p>
                  <w:pPr>
                    <w:pStyle w:val="49"/>
                    <w:widowControl w:val="0"/>
                    <w:snapToGrid/>
                    <w:spacing w:before="0" w:after="0" w:line="240" w:lineRule="auto"/>
                    <w:ind w:right="0"/>
                    <w:rPr>
                      <w:rFonts w:ascii="Times New Roman" w:hAnsi="Times New Roman" w:eastAsia="宋体"/>
                      <w:b/>
                      <w:bCs/>
                      <w:color w:val="000000"/>
                      <w:sz w:val="21"/>
                      <w:szCs w:val="21"/>
                    </w:rPr>
                  </w:pPr>
                  <w:r>
                    <w:rPr>
                      <w:rFonts w:ascii="Times New Roman" w:hAnsi="Times New Roman" w:eastAsia="宋体"/>
                      <w:b/>
                      <w:bCs/>
                      <w:color w:val="000000"/>
                      <w:sz w:val="21"/>
                      <w:szCs w:val="21"/>
                    </w:rPr>
                    <w:t>类别</w:t>
                  </w:r>
                </w:p>
              </w:tc>
              <w:tc>
                <w:tcPr>
                  <w:tcW w:w="1111" w:type="pct"/>
                  <w:vAlign w:val="center"/>
                </w:tcPr>
                <w:p>
                  <w:pPr>
                    <w:pStyle w:val="49"/>
                    <w:widowControl w:val="0"/>
                    <w:snapToGrid/>
                    <w:spacing w:before="0" w:after="0" w:line="240" w:lineRule="auto"/>
                    <w:ind w:right="0"/>
                    <w:rPr>
                      <w:rFonts w:ascii="Times New Roman" w:hAnsi="Times New Roman" w:eastAsia="宋体"/>
                      <w:b/>
                      <w:bCs/>
                      <w:color w:val="000000"/>
                      <w:sz w:val="21"/>
                      <w:szCs w:val="21"/>
                    </w:rPr>
                  </w:pPr>
                  <w:r>
                    <w:rPr>
                      <w:rFonts w:ascii="Times New Roman" w:hAnsi="Times New Roman" w:eastAsia="宋体"/>
                      <w:b/>
                      <w:bCs/>
                      <w:color w:val="000000"/>
                      <w:sz w:val="21"/>
                      <w:szCs w:val="21"/>
                    </w:rPr>
                    <w:t>监测点位</w:t>
                  </w:r>
                </w:p>
              </w:tc>
              <w:tc>
                <w:tcPr>
                  <w:tcW w:w="1244" w:type="pct"/>
                  <w:vAlign w:val="center"/>
                </w:tcPr>
                <w:p>
                  <w:pPr>
                    <w:pStyle w:val="49"/>
                    <w:widowControl w:val="0"/>
                    <w:snapToGrid/>
                    <w:spacing w:before="0" w:after="0" w:line="240" w:lineRule="auto"/>
                    <w:ind w:right="0"/>
                    <w:rPr>
                      <w:rFonts w:ascii="Times New Roman" w:hAnsi="Times New Roman" w:eastAsia="宋体"/>
                      <w:b/>
                      <w:bCs/>
                      <w:color w:val="000000"/>
                      <w:sz w:val="21"/>
                      <w:szCs w:val="21"/>
                    </w:rPr>
                  </w:pPr>
                  <w:r>
                    <w:rPr>
                      <w:rFonts w:ascii="Times New Roman" w:hAnsi="Times New Roman" w:eastAsia="宋体"/>
                      <w:b/>
                      <w:bCs/>
                      <w:color w:val="000000"/>
                      <w:sz w:val="21"/>
                      <w:szCs w:val="21"/>
                    </w:rPr>
                    <w:t>监测项目</w:t>
                  </w:r>
                </w:p>
              </w:tc>
              <w:tc>
                <w:tcPr>
                  <w:tcW w:w="1741" w:type="pct"/>
                  <w:vAlign w:val="center"/>
                </w:tcPr>
                <w:p>
                  <w:pPr>
                    <w:pStyle w:val="49"/>
                    <w:widowControl w:val="0"/>
                    <w:snapToGrid/>
                    <w:spacing w:before="0" w:after="0" w:line="240" w:lineRule="auto"/>
                    <w:ind w:right="0"/>
                    <w:rPr>
                      <w:rFonts w:ascii="Times New Roman" w:hAnsi="Times New Roman" w:eastAsia="宋体"/>
                      <w:b/>
                      <w:bCs/>
                      <w:color w:val="000000"/>
                      <w:sz w:val="21"/>
                      <w:szCs w:val="21"/>
                    </w:rPr>
                  </w:pPr>
                  <w:r>
                    <w:rPr>
                      <w:rFonts w:ascii="Times New Roman" w:hAnsi="Times New Roman" w:eastAsia="宋体"/>
                      <w:b/>
                      <w:bCs/>
                      <w:color w:val="000000"/>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02" w:type="pct"/>
                  <w:vAlign w:val="center"/>
                </w:tcPr>
                <w:p>
                  <w:pPr>
                    <w:pStyle w:val="49"/>
                    <w:widowControl w:val="0"/>
                    <w:snapToGrid/>
                    <w:spacing w:before="0" w:after="0" w:line="240" w:lineRule="auto"/>
                    <w:ind w:right="0"/>
                    <w:rPr>
                      <w:rFonts w:ascii="Times New Roman" w:hAnsi="Times New Roman" w:eastAsia="宋体"/>
                      <w:color w:val="000000"/>
                      <w:sz w:val="21"/>
                      <w:szCs w:val="21"/>
                    </w:rPr>
                  </w:pPr>
                  <w:r>
                    <w:rPr>
                      <w:rFonts w:ascii="Times New Roman" w:hAnsi="Times New Roman" w:eastAsia="宋体"/>
                      <w:color w:val="000000"/>
                      <w:sz w:val="21"/>
                      <w:szCs w:val="21"/>
                    </w:rPr>
                    <w:t>厂界噪声</w:t>
                  </w:r>
                </w:p>
              </w:tc>
              <w:tc>
                <w:tcPr>
                  <w:tcW w:w="1111" w:type="pct"/>
                  <w:vAlign w:val="center"/>
                </w:tcPr>
                <w:p>
                  <w:pPr>
                    <w:pStyle w:val="49"/>
                    <w:widowControl w:val="0"/>
                    <w:snapToGrid/>
                    <w:spacing w:before="0" w:after="0" w:line="240" w:lineRule="auto"/>
                    <w:ind w:right="0"/>
                    <w:rPr>
                      <w:rFonts w:ascii="Times New Roman" w:hAnsi="Times New Roman" w:eastAsia="宋体"/>
                      <w:color w:val="000000"/>
                      <w:sz w:val="21"/>
                      <w:szCs w:val="21"/>
                    </w:rPr>
                  </w:pPr>
                  <w:r>
                    <w:rPr>
                      <w:rFonts w:ascii="Times New Roman" w:hAnsi="Times New Roman" w:eastAsia="宋体"/>
                      <w:color w:val="000000"/>
                      <w:sz w:val="21"/>
                      <w:szCs w:val="21"/>
                    </w:rPr>
                    <w:t>厂界外1米</w:t>
                  </w:r>
                </w:p>
              </w:tc>
              <w:tc>
                <w:tcPr>
                  <w:tcW w:w="1244" w:type="pct"/>
                  <w:vAlign w:val="center"/>
                </w:tcPr>
                <w:p>
                  <w:pPr>
                    <w:pStyle w:val="49"/>
                    <w:widowControl w:val="0"/>
                    <w:snapToGrid/>
                    <w:spacing w:before="0" w:after="0" w:line="240" w:lineRule="auto"/>
                    <w:ind w:right="0"/>
                    <w:rPr>
                      <w:rFonts w:ascii="Times New Roman" w:hAnsi="Times New Roman" w:eastAsia="宋体"/>
                      <w:color w:val="000000"/>
                      <w:sz w:val="21"/>
                      <w:szCs w:val="21"/>
                    </w:rPr>
                  </w:pPr>
                  <w:r>
                    <w:rPr>
                      <w:rFonts w:ascii="Times New Roman" w:hAnsi="Times New Roman" w:eastAsia="宋体"/>
                      <w:color w:val="000000"/>
                      <w:sz w:val="21"/>
                      <w:szCs w:val="21"/>
                    </w:rPr>
                    <w:t>等效连续A声级</w:t>
                  </w:r>
                </w:p>
              </w:tc>
              <w:tc>
                <w:tcPr>
                  <w:tcW w:w="1741" w:type="pct"/>
                  <w:vAlign w:val="center"/>
                </w:tcPr>
                <w:p>
                  <w:pPr>
                    <w:pStyle w:val="49"/>
                    <w:widowControl w:val="0"/>
                    <w:snapToGrid/>
                    <w:spacing w:before="0" w:after="0" w:line="240" w:lineRule="auto"/>
                    <w:ind w:right="0"/>
                    <w:rPr>
                      <w:rFonts w:ascii="Times New Roman" w:hAnsi="Times New Roman" w:eastAsia="宋体"/>
                      <w:color w:val="000000"/>
                      <w:sz w:val="21"/>
                      <w:szCs w:val="21"/>
                    </w:rPr>
                  </w:pPr>
                  <w:r>
                    <w:rPr>
                      <w:rFonts w:ascii="Times New Roman" w:hAnsi="Times New Roman" w:eastAsia="宋体"/>
                      <w:color w:val="000000"/>
                      <w:sz w:val="21"/>
                      <w:szCs w:val="21"/>
                    </w:rPr>
                    <w:t>每季度1次</w:t>
                  </w:r>
                </w:p>
              </w:tc>
            </w:tr>
          </w:tbl>
          <w:p>
            <w:pPr>
              <w:tabs>
                <w:tab w:val="left" w:pos="0"/>
              </w:tabs>
              <w:spacing w:line="360" w:lineRule="auto"/>
              <w:jc w:val="left"/>
              <w:rPr>
                <w:b/>
                <w:color w:val="000000"/>
                <w:sz w:val="24"/>
              </w:rPr>
            </w:pPr>
            <w:r>
              <w:rPr>
                <w:b/>
                <w:color w:val="000000"/>
                <w:sz w:val="24"/>
              </w:rPr>
              <w:t>4.4固废影响及防治措施分析</w:t>
            </w:r>
          </w:p>
          <w:p>
            <w:pPr>
              <w:tabs>
                <w:tab w:val="left" w:pos="0"/>
              </w:tabs>
              <w:spacing w:line="360" w:lineRule="auto"/>
              <w:jc w:val="left"/>
              <w:rPr>
                <w:b/>
                <w:color w:val="000000"/>
                <w:sz w:val="24"/>
              </w:rPr>
            </w:pPr>
            <w:r>
              <w:rPr>
                <w:b/>
                <w:color w:val="000000"/>
                <w:sz w:val="24"/>
              </w:rPr>
              <w:t>4.4.1固体废物产生情况</w:t>
            </w:r>
          </w:p>
          <w:p>
            <w:pPr>
              <w:tabs>
                <w:tab w:val="left" w:pos="0"/>
              </w:tabs>
              <w:spacing w:line="360" w:lineRule="auto"/>
              <w:ind w:firstLine="480" w:firstLineChars="200"/>
              <w:rPr>
                <w:color w:val="000000"/>
                <w:sz w:val="24"/>
              </w:rPr>
            </w:pPr>
            <w:r>
              <w:rPr>
                <w:color w:val="000000"/>
                <w:sz w:val="24"/>
              </w:rPr>
              <w:t>（1）生活垃圾</w:t>
            </w:r>
          </w:p>
          <w:p>
            <w:pPr>
              <w:tabs>
                <w:tab w:val="left" w:pos="0"/>
              </w:tabs>
              <w:spacing w:line="360" w:lineRule="auto"/>
              <w:ind w:firstLine="480" w:firstLineChars="200"/>
              <w:rPr>
                <w:color w:val="000000"/>
                <w:sz w:val="24"/>
              </w:rPr>
            </w:pPr>
            <w:r>
              <w:rPr>
                <w:color w:val="000000"/>
                <w:sz w:val="24"/>
              </w:rPr>
              <w:t>生活垃圾：根据类比调查，生活垃圾产生量按0.5kg/（人·d）估算，项目员工</w:t>
            </w:r>
            <w:r>
              <w:rPr>
                <w:rFonts w:hint="eastAsia"/>
                <w:color w:val="000000"/>
                <w:sz w:val="24"/>
              </w:rPr>
              <w:t>20</w:t>
            </w:r>
            <w:r>
              <w:rPr>
                <w:color w:val="000000"/>
                <w:sz w:val="24"/>
              </w:rPr>
              <w:t>0人，年工作300天，则生活垃圾产生量为</w:t>
            </w:r>
            <w:r>
              <w:rPr>
                <w:rFonts w:hint="eastAsia"/>
                <w:color w:val="000000"/>
                <w:sz w:val="24"/>
              </w:rPr>
              <w:t>30</w:t>
            </w:r>
            <w:r>
              <w:rPr>
                <w:color w:val="000000"/>
                <w:sz w:val="24"/>
              </w:rPr>
              <w:t>t/a，定期委托环卫部门清运。</w:t>
            </w:r>
          </w:p>
          <w:p>
            <w:pPr>
              <w:tabs>
                <w:tab w:val="left" w:pos="0"/>
              </w:tabs>
              <w:spacing w:line="360" w:lineRule="auto"/>
              <w:ind w:firstLine="480" w:firstLineChars="200"/>
              <w:rPr>
                <w:color w:val="000000"/>
                <w:sz w:val="24"/>
              </w:rPr>
            </w:pPr>
            <w:r>
              <w:rPr>
                <w:color w:val="000000"/>
                <w:sz w:val="24"/>
              </w:rPr>
              <w:t>（2）一般固废</w:t>
            </w:r>
          </w:p>
          <w:p>
            <w:pPr>
              <w:adjustRightInd w:val="0"/>
              <w:spacing w:line="360" w:lineRule="auto"/>
              <w:ind w:firstLine="480" w:firstLineChars="200"/>
              <w:jc w:val="left"/>
              <w:rPr>
                <w:color w:val="000000"/>
                <w:sz w:val="24"/>
              </w:rPr>
            </w:pPr>
            <w:r>
              <w:rPr>
                <w:color w:val="000000"/>
                <w:sz w:val="24"/>
              </w:rPr>
              <w:t>一般废包装：原料使用中废弃的包装材料，根据建设单位提供的资料，一般废包装的产生量约为1.5t/a，</w:t>
            </w:r>
            <w:r>
              <w:rPr>
                <w:rFonts w:hint="eastAsia"/>
                <w:color w:val="000000"/>
                <w:sz w:val="24"/>
              </w:rPr>
              <w:t>外售处置</w:t>
            </w:r>
            <w:r>
              <w:rPr>
                <w:color w:val="000000"/>
                <w:sz w:val="24"/>
              </w:rPr>
              <w:t>。</w:t>
            </w:r>
          </w:p>
          <w:p>
            <w:pPr>
              <w:tabs>
                <w:tab w:val="left" w:pos="0"/>
              </w:tabs>
              <w:spacing w:line="360" w:lineRule="auto"/>
              <w:ind w:firstLine="480" w:firstLineChars="200"/>
              <w:rPr>
                <w:color w:val="000000"/>
                <w:sz w:val="24"/>
              </w:rPr>
            </w:pPr>
            <w:r>
              <w:rPr>
                <w:rFonts w:hint="eastAsia"/>
                <w:color w:val="000000"/>
                <w:sz w:val="24"/>
              </w:rPr>
              <w:t>废锡膏</w:t>
            </w:r>
            <w:r>
              <w:rPr>
                <w:color w:val="000000"/>
                <w:sz w:val="24"/>
              </w:rPr>
              <w:t>：</w:t>
            </w:r>
            <w:r>
              <w:rPr>
                <w:rFonts w:hint="eastAsia"/>
                <w:color w:val="000000"/>
                <w:sz w:val="24"/>
              </w:rPr>
              <w:t>根据企业方估算，废锡膏</w:t>
            </w:r>
            <w:r>
              <w:rPr>
                <w:rFonts w:hint="eastAsia"/>
                <w:color w:val="000000"/>
                <w:sz w:val="24"/>
                <w:highlight w:val="none"/>
              </w:rPr>
              <w:t>年产生量约为0.0</w:t>
            </w:r>
            <w:r>
              <w:rPr>
                <w:rFonts w:hint="eastAsia"/>
                <w:color w:val="000000"/>
                <w:sz w:val="24"/>
                <w:highlight w:val="none"/>
                <w:lang w:val="en-US" w:eastAsia="zh-CN"/>
              </w:rPr>
              <w:t>5</w:t>
            </w:r>
            <w:r>
              <w:rPr>
                <w:rFonts w:hint="eastAsia"/>
                <w:color w:val="000000"/>
                <w:sz w:val="24"/>
                <w:highlight w:val="none"/>
              </w:rPr>
              <w:t>t/a。</w:t>
            </w:r>
          </w:p>
          <w:p>
            <w:pPr>
              <w:tabs>
                <w:tab w:val="left" w:pos="0"/>
              </w:tabs>
              <w:spacing w:line="360" w:lineRule="auto"/>
              <w:ind w:firstLine="480" w:firstLineChars="200"/>
              <w:rPr>
                <w:color w:val="000000"/>
                <w:sz w:val="24"/>
              </w:rPr>
            </w:pPr>
            <w:r>
              <w:rPr>
                <w:color w:val="000000"/>
                <w:sz w:val="24"/>
              </w:rPr>
              <w:t>（3）危险废物</w:t>
            </w:r>
          </w:p>
          <w:p>
            <w:pPr>
              <w:adjustRightInd w:val="0"/>
              <w:spacing w:line="360" w:lineRule="auto"/>
              <w:ind w:firstLine="480" w:firstLineChars="200"/>
              <w:jc w:val="left"/>
              <w:rPr>
                <w:color w:val="000000"/>
                <w:sz w:val="24"/>
              </w:rPr>
            </w:pPr>
            <w:r>
              <w:rPr>
                <w:rFonts w:hint="eastAsia"/>
                <w:color w:val="000000"/>
                <w:sz w:val="24"/>
              </w:rPr>
              <w:t>清洗废液</w:t>
            </w:r>
            <w:r>
              <w:rPr>
                <w:color w:val="000000"/>
                <w:sz w:val="24"/>
              </w:rPr>
              <w:t>：本项目</w:t>
            </w:r>
            <w:r>
              <w:rPr>
                <w:rFonts w:hint="eastAsia"/>
                <w:color w:val="000000"/>
                <w:sz w:val="24"/>
                <w:lang w:eastAsia="zh-CN"/>
              </w:rPr>
              <w:t>网版</w:t>
            </w:r>
            <w:r>
              <w:rPr>
                <w:color w:val="000000"/>
                <w:sz w:val="24"/>
              </w:rPr>
              <w:t>清洗</w:t>
            </w:r>
            <w:r>
              <w:rPr>
                <w:rFonts w:hint="eastAsia"/>
                <w:color w:val="000000"/>
                <w:sz w:val="24"/>
              </w:rPr>
              <w:t>废液产生量为0.172</w:t>
            </w:r>
            <w:r>
              <w:rPr>
                <w:color w:val="000000"/>
                <w:sz w:val="24"/>
              </w:rPr>
              <w:t>t/a。</w:t>
            </w:r>
          </w:p>
          <w:p>
            <w:pPr>
              <w:adjustRightInd w:val="0"/>
              <w:spacing w:line="360" w:lineRule="auto"/>
              <w:ind w:firstLine="480" w:firstLineChars="200"/>
              <w:jc w:val="left"/>
              <w:rPr>
                <w:color w:val="000000"/>
                <w:sz w:val="24"/>
                <w:highlight w:val="none"/>
              </w:rPr>
            </w:pPr>
            <w:r>
              <w:rPr>
                <w:rFonts w:hint="eastAsia"/>
                <w:color w:val="000000"/>
                <w:sz w:val="24"/>
                <w:highlight w:val="none"/>
              </w:rPr>
              <w:t>废擦拭纸：根据企业方估算，废擦拭纸年产生量约为0.</w:t>
            </w:r>
            <w:r>
              <w:rPr>
                <w:rFonts w:hint="eastAsia"/>
                <w:color w:val="000000"/>
                <w:sz w:val="24"/>
                <w:highlight w:val="none"/>
                <w:lang w:val="en-US" w:eastAsia="zh-CN"/>
              </w:rPr>
              <w:t>1</w:t>
            </w:r>
            <w:r>
              <w:rPr>
                <w:rFonts w:hint="eastAsia"/>
                <w:color w:val="000000"/>
                <w:sz w:val="24"/>
                <w:highlight w:val="none"/>
              </w:rPr>
              <w:t>t/a。</w:t>
            </w:r>
          </w:p>
          <w:p>
            <w:pPr>
              <w:adjustRightInd w:val="0"/>
              <w:spacing w:line="360" w:lineRule="auto"/>
              <w:ind w:firstLine="480" w:firstLineChars="200"/>
              <w:jc w:val="left"/>
              <w:rPr>
                <w:color w:val="000000"/>
                <w:sz w:val="24"/>
                <w:highlight w:val="none"/>
              </w:rPr>
            </w:pPr>
            <w:r>
              <w:rPr>
                <w:rFonts w:hint="eastAsia"/>
                <w:color w:val="000000"/>
                <w:sz w:val="24"/>
                <w:highlight w:val="none"/>
              </w:rPr>
              <w:t>废包装桶：根据企业方估算，废包装桶年产生量约为</w:t>
            </w:r>
            <w:r>
              <w:rPr>
                <w:rFonts w:hint="eastAsia"/>
                <w:color w:val="000000"/>
                <w:sz w:val="24"/>
                <w:highlight w:val="none"/>
                <w:lang w:val="en-US" w:eastAsia="zh-CN"/>
              </w:rPr>
              <w:t>0.4</w:t>
            </w:r>
            <w:r>
              <w:rPr>
                <w:rFonts w:hint="eastAsia"/>
                <w:color w:val="000000"/>
                <w:sz w:val="24"/>
                <w:highlight w:val="none"/>
              </w:rPr>
              <w:t>t/a。</w:t>
            </w:r>
          </w:p>
          <w:p>
            <w:pPr>
              <w:adjustRightInd w:val="0"/>
              <w:spacing w:line="360" w:lineRule="auto"/>
              <w:ind w:firstLine="480" w:firstLineChars="200"/>
              <w:jc w:val="left"/>
              <w:rPr>
                <w:color w:val="000000"/>
                <w:sz w:val="24"/>
              </w:rPr>
            </w:pPr>
            <w:r>
              <w:rPr>
                <w:rFonts w:hint="eastAsia"/>
                <w:color w:val="000000"/>
                <w:sz w:val="24"/>
              </w:rPr>
              <w:t>废活性炭：活性炭吸附装置1单级活性炭箱装填量为0.5m</w:t>
            </w:r>
            <w:r>
              <w:rPr>
                <w:rFonts w:hint="eastAsia"/>
                <w:color w:val="000000"/>
                <w:sz w:val="24"/>
                <w:vertAlign w:val="superscript"/>
              </w:rPr>
              <w:t>3</w:t>
            </w:r>
            <w:r>
              <w:rPr>
                <w:rFonts w:hint="eastAsia"/>
                <w:color w:val="000000"/>
                <w:sz w:val="24"/>
              </w:rPr>
              <w:t>，一套活性炭箱装填量为1m</w:t>
            </w:r>
            <w:r>
              <w:rPr>
                <w:rFonts w:hint="eastAsia"/>
                <w:color w:val="000000"/>
                <w:sz w:val="24"/>
                <w:vertAlign w:val="superscript"/>
              </w:rPr>
              <w:t>3</w:t>
            </w:r>
            <w:r>
              <w:rPr>
                <w:rFonts w:hint="eastAsia"/>
                <w:color w:val="000000"/>
                <w:sz w:val="24"/>
              </w:rPr>
              <w:t>；活性炭吸附装置2单级活性炭箱装填量为1m</w:t>
            </w:r>
            <w:r>
              <w:rPr>
                <w:rFonts w:hint="eastAsia"/>
                <w:color w:val="000000"/>
                <w:sz w:val="24"/>
                <w:vertAlign w:val="superscript"/>
              </w:rPr>
              <w:t>3</w:t>
            </w:r>
            <w:r>
              <w:rPr>
                <w:rFonts w:hint="eastAsia"/>
                <w:color w:val="000000"/>
                <w:sz w:val="24"/>
              </w:rPr>
              <w:t>，一套活性炭箱装填量为2m</w:t>
            </w:r>
            <w:r>
              <w:rPr>
                <w:rFonts w:hint="eastAsia"/>
                <w:color w:val="000000"/>
                <w:sz w:val="24"/>
                <w:vertAlign w:val="superscript"/>
              </w:rPr>
              <w:t>3</w:t>
            </w:r>
            <w:r>
              <w:rPr>
                <w:rFonts w:hint="eastAsia"/>
                <w:color w:val="000000"/>
                <w:sz w:val="24"/>
              </w:rPr>
              <w:t>。活性炭吸附装置均3个月更换</w:t>
            </w:r>
            <w:r>
              <w:rPr>
                <w:rFonts w:hint="eastAsia"/>
                <w:color w:val="000000"/>
                <w:sz w:val="24"/>
                <w:highlight w:val="none"/>
              </w:rPr>
              <w:t>一次，则活性炭吸附装置1一年产生废活性炭12m</w:t>
            </w:r>
            <w:r>
              <w:rPr>
                <w:rFonts w:hint="eastAsia"/>
                <w:color w:val="000000"/>
                <w:sz w:val="24"/>
                <w:highlight w:val="none"/>
                <w:vertAlign w:val="superscript"/>
              </w:rPr>
              <w:t>3</w:t>
            </w:r>
            <w:r>
              <w:rPr>
                <w:rFonts w:hint="eastAsia"/>
                <w:color w:val="000000"/>
                <w:sz w:val="24"/>
                <w:highlight w:val="none"/>
              </w:rPr>
              <w:t>，废气吸附量共1.79t/a，1m</w:t>
            </w:r>
            <w:r>
              <w:rPr>
                <w:rFonts w:hint="eastAsia"/>
                <w:color w:val="000000"/>
                <w:sz w:val="24"/>
                <w:highlight w:val="none"/>
                <w:vertAlign w:val="superscript"/>
              </w:rPr>
              <w:t>3</w:t>
            </w:r>
            <w:r>
              <w:rPr>
                <w:rFonts w:hint="eastAsia"/>
                <w:color w:val="000000"/>
                <w:sz w:val="24"/>
                <w:highlight w:val="none"/>
              </w:rPr>
              <w:t>活性炭约0.4t，则废活性炭共6.59t/a。</w:t>
            </w:r>
          </w:p>
          <w:p>
            <w:pPr>
              <w:tabs>
                <w:tab w:val="left" w:pos="0"/>
              </w:tabs>
              <w:spacing w:line="360" w:lineRule="auto"/>
              <w:ind w:firstLine="480" w:firstLineChars="200"/>
              <w:rPr>
                <w:color w:val="000000"/>
                <w:sz w:val="24"/>
              </w:rPr>
            </w:pPr>
            <w:r>
              <w:rPr>
                <w:color w:val="000000"/>
                <w:sz w:val="24"/>
              </w:rPr>
              <w:t>项目固体废物具体产生情况见下表。</w:t>
            </w:r>
          </w:p>
          <w:p>
            <w:pPr>
              <w:snapToGrid w:val="0"/>
              <w:spacing w:before="60"/>
              <w:jc w:val="center"/>
              <w:rPr>
                <w:b/>
                <w:color w:val="000000"/>
                <w:sz w:val="24"/>
              </w:rPr>
            </w:pPr>
            <w:r>
              <w:rPr>
                <w:b/>
                <w:color w:val="000000"/>
                <w:sz w:val="24"/>
              </w:rPr>
              <w:t>表4-21  建设项目副产物产生情况一览表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412"/>
              <w:gridCol w:w="998"/>
              <w:gridCol w:w="1193"/>
              <w:gridCol w:w="604"/>
              <w:gridCol w:w="1074"/>
              <w:gridCol w:w="907"/>
              <w:gridCol w:w="983"/>
              <w:gridCol w:w="731"/>
              <w:gridCol w:w="2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227" w:type="pct"/>
                  <w:vMerge w:val="restar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序号</w:t>
                  </w:r>
                </w:p>
              </w:tc>
              <w:tc>
                <w:tcPr>
                  <w:tcW w:w="550" w:type="pct"/>
                  <w:vMerge w:val="restar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副产物名称</w:t>
                  </w:r>
                </w:p>
              </w:tc>
              <w:tc>
                <w:tcPr>
                  <w:tcW w:w="658" w:type="pct"/>
                  <w:vMerge w:val="restar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产生工序</w:t>
                  </w:r>
                </w:p>
              </w:tc>
              <w:tc>
                <w:tcPr>
                  <w:tcW w:w="333" w:type="pct"/>
                  <w:vMerge w:val="restar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形态</w:t>
                  </w:r>
                </w:p>
              </w:tc>
              <w:tc>
                <w:tcPr>
                  <w:tcW w:w="592" w:type="pct"/>
                  <w:vMerge w:val="restart"/>
                  <w:vAlign w:val="center"/>
                </w:tcPr>
                <w:p>
                  <w:pPr>
                    <w:tabs>
                      <w:tab w:val="left" w:pos="0"/>
                    </w:tabs>
                    <w:adjustRightInd w:val="0"/>
                    <w:snapToGrid w:val="0"/>
                    <w:jc w:val="center"/>
                    <w:textAlignment w:val="baseline"/>
                    <w:rPr>
                      <w:b/>
                      <w:snapToGrid w:val="0"/>
                      <w:color w:val="000000"/>
                      <w:spacing w:val="4"/>
                    </w:rPr>
                  </w:pPr>
                  <w:r>
                    <w:rPr>
                      <w:b/>
                      <w:color w:val="000000"/>
                      <w:spacing w:val="4"/>
                    </w:rPr>
                    <w:t>主要成分</w:t>
                  </w:r>
                </w:p>
              </w:tc>
              <w:tc>
                <w:tcPr>
                  <w:tcW w:w="500" w:type="pct"/>
                  <w:vMerge w:val="restar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预测产生量（t/a）</w:t>
                  </w:r>
                </w:p>
              </w:tc>
              <w:tc>
                <w:tcPr>
                  <w:tcW w:w="2137" w:type="pct"/>
                  <w:gridSpan w:val="3"/>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种类判断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4" w:hRule="atLeast"/>
                <w:jc w:val="center"/>
              </w:trPr>
              <w:tc>
                <w:tcPr>
                  <w:tcW w:w="227" w:type="pct"/>
                  <w:vMerge w:val="continue"/>
                  <w:vAlign w:val="center"/>
                </w:tcPr>
                <w:p>
                  <w:pPr>
                    <w:tabs>
                      <w:tab w:val="left" w:pos="0"/>
                    </w:tabs>
                    <w:adjustRightInd w:val="0"/>
                    <w:snapToGrid w:val="0"/>
                    <w:jc w:val="center"/>
                    <w:textAlignment w:val="baseline"/>
                    <w:rPr>
                      <w:b/>
                      <w:snapToGrid w:val="0"/>
                      <w:color w:val="000000"/>
                      <w:spacing w:val="4"/>
                    </w:rPr>
                  </w:pPr>
                </w:p>
              </w:tc>
              <w:tc>
                <w:tcPr>
                  <w:tcW w:w="550" w:type="pct"/>
                  <w:vMerge w:val="continue"/>
                  <w:vAlign w:val="center"/>
                </w:tcPr>
                <w:p>
                  <w:pPr>
                    <w:tabs>
                      <w:tab w:val="left" w:pos="0"/>
                    </w:tabs>
                    <w:adjustRightInd w:val="0"/>
                    <w:snapToGrid w:val="0"/>
                    <w:jc w:val="center"/>
                    <w:textAlignment w:val="baseline"/>
                    <w:rPr>
                      <w:b/>
                      <w:snapToGrid w:val="0"/>
                      <w:color w:val="000000"/>
                      <w:spacing w:val="4"/>
                    </w:rPr>
                  </w:pPr>
                </w:p>
              </w:tc>
              <w:tc>
                <w:tcPr>
                  <w:tcW w:w="658" w:type="pct"/>
                  <w:vMerge w:val="continue"/>
                  <w:vAlign w:val="center"/>
                </w:tcPr>
                <w:p>
                  <w:pPr>
                    <w:tabs>
                      <w:tab w:val="left" w:pos="0"/>
                    </w:tabs>
                    <w:adjustRightInd w:val="0"/>
                    <w:snapToGrid w:val="0"/>
                    <w:jc w:val="center"/>
                    <w:textAlignment w:val="baseline"/>
                    <w:rPr>
                      <w:b/>
                      <w:snapToGrid w:val="0"/>
                      <w:color w:val="000000"/>
                      <w:spacing w:val="4"/>
                    </w:rPr>
                  </w:pPr>
                </w:p>
              </w:tc>
              <w:tc>
                <w:tcPr>
                  <w:tcW w:w="333" w:type="pct"/>
                  <w:vMerge w:val="continue"/>
                  <w:vAlign w:val="center"/>
                </w:tcPr>
                <w:p>
                  <w:pPr>
                    <w:tabs>
                      <w:tab w:val="left" w:pos="0"/>
                    </w:tabs>
                    <w:adjustRightInd w:val="0"/>
                    <w:snapToGrid w:val="0"/>
                    <w:jc w:val="center"/>
                    <w:textAlignment w:val="baseline"/>
                    <w:rPr>
                      <w:b/>
                      <w:snapToGrid w:val="0"/>
                      <w:color w:val="000000"/>
                      <w:spacing w:val="4"/>
                    </w:rPr>
                  </w:pPr>
                </w:p>
              </w:tc>
              <w:tc>
                <w:tcPr>
                  <w:tcW w:w="592" w:type="pct"/>
                  <w:vMerge w:val="continue"/>
                  <w:vAlign w:val="center"/>
                </w:tcPr>
                <w:p>
                  <w:pPr>
                    <w:tabs>
                      <w:tab w:val="left" w:pos="0"/>
                    </w:tabs>
                    <w:adjustRightInd w:val="0"/>
                    <w:snapToGrid w:val="0"/>
                    <w:jc w:val="center"/>
                    <w:textAlignment w:val="baseline"/>
                    <w:rPr>
                      <w:b/>
                      <w:snapToGrid w:val="0"/>
                      <w:color w:val="000000"/>
                      <w:spacing w:val="4"/>
                    </w:rPr>
                  </w:pPr>
                </w:p>
              </w:tc>
              <w:tc>
                <w:tcPr>
                  <w:tcW w:w="500" w:type="pct"/>
                  <w:vMerge w:val="continue"/>
                  <w:vAlign w:val="center"/>
                </w:tcPr>
                <w:p>
                  <w:pPr>
                    <w:tabs>
                      <w:tab w:val="left" w:pos="0"/>
                    </w:tabs>
                    <w:adjustRightInd w:val="0"/>
                    <w:snapToGrid w:val="0"/>
                    <w:jc w:val="center"/>
                    <w:textAlignment w:val="baseline"/>
                    <w:rPr>
                      <w:b/>
                      <w:snapToGrid w:val="0"/>
                      <w:color w:val="000000"/>
                      <w:spacing w:val="4"/>
                    </w:rPr>
                  </w:pPr>
                </w:p>
              </w:tc>
              <w:tc>
                <w:tcPr>
                  <w:tcW w:w="542" w:type="pc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固体废物</w:t>
                  </w:r>
                </w:p>
              </w:tc>
              <w:tc>
                <w:tcPr>
                  <w:tcW w:w="403" w:type="pc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副产品</w:t>
                  </w:r>
                </w:p>
              </w:tc>
              <w:tc>
                <w:tcPr>
                  <w:tcW w:w="1192" w:type="pct"/>
                  <w:vAlign w:val="center"/>
                </w:tcPr>
                <w:p>
                  <w:pPr>
                    <w:tabs>
                      <w:tab w:val="left" w:pos="0"/>
                    </w:tabs>
                    <w:adjustRightInd w:val="0"/>
                    <w:snapToGrid w:val="0"/>
                    <w:jc w:val="center"/>
                    <w:textAlignment w:val="baseline"/>
                    <w:rPr>
                      <w:b/>
                      <w:snapToGrid w:val="0"/>
                      <w:color w:val="000000"/>
                      <w:spacing w:val="4"/>
                    </w:rPr>
                  </w:pPr>
                  <w:r>
                    <w:rPr>
                      <w:b/>
                      <w:snapToGrid w:val="0"/>
                      <w:color w:val="000000"/>
                      <w:spacing w:val="4"/>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7" w:hRule="atLeast"/>
                <w:jc w:val="center"/>
              </w:trPr>
              <w:tc>
                <w:tcPr>
                  <w:tcW w:w="227" w:type="pct"/>
                  <w:vAlign w:val="center"/>
                </w:tcPr>
                <w:p>
                  <w:pPr>
                    <w:tabs>
                      <w:tab w:val="left" w:pos="0"/>
                    </w:tabs>
                    <w:adjustRightInd w:val="0"/>
                    <w:snapToGrid w:val="0"/>
                    <w:jc w:val="center"/>
                    <w:textAlignment w:val="baseline"/>
                    <w:rPr>
                      <w:color w:val="000000"/>
                      <w:spacing w:val="4"/>
                    </w:rPr>
                  </w:pPr>
                  <w:r>
                    <w:rPr>
                      <w:color w:val="000000"/>
                      <w:spacing w:val="4"/>
                    </w:rPr>
                    <w:t>1</w:t>
                  </w:r>
                </w:p>
              </w:tc>
              <w:tc>
                <w:tcPr>
                  <w:tcW w:w="550" w:type="pct"/>
                  <w:vAlign w:val="center"/>
                </w:tcPr>
                <w:p>
                  <w:pPr>
                    <w:tabs>
                      <w:tab w:val="left" w:pos="0"/>
                    </w:tabs>
                    <w:adjustRightInd w:val="0"/>
                    <w:snapToGrid w:val="0"/>
                    <w:jc w:val="center"/>
                    <w:textAlignment w:val="baseline"/>
                    <w:rPr>
                      <w:color w:val="000000"/>
                      <w:spacing w:val="4"/>
                    </w:rPr>
                  </w:pPr>
                  <w:r>
                    <w:rPr>
                      <w:color w:val="000000"/>
                      <w:spacing w:val="4"/>
                    </w:rPr>
                    <w:t>生活垃圾</w:t>
                  </w:r>
                </w:p>
              </w:tc>
              <w:tc>
                <w:tcPr>
                  <w:tcW w:w="658" w:type="pct"/>
                  <w:vAlign w:val="center"/>
                </w:tcPr>
                <w:p>
                  <w:pPr>
                    <w:tabs>
                      <w:tab w:val="left" w:pos="0"/>
                    </w:tabs>
                    <w:adjustRightInd w:val="0"/>
                    <w:snapToGrid w:val="0"/>
                    <w:jc w:val="center"/>
                    <w:textAlignment w:val="baseline"/>
                    <w:rPr>
                      <w:color w:val="000000"/>
                      <w:spacing w:val="4"/>
                    </w:rPr>
                  </w:pPr>
                  <w:r>
                    <w:rPr>
                      <w:color w:val="000000"/>
                      <w:spacing w:val="4"/>
                    </w:rPr>
                    <w:t>员工生活</w:t>
                  </w:r>
                </w:p>
              </w:tc>
              <w:tc>
                <w:tcPr>
                  <w:tcW w:w="333" w:type="pct"/>
                  <w:vAlign w:val="center"/>
                </w:tcPr>
                <w:p>
                  <w:pPr>
                    <w:tabs>
                      <w:tab w:val="left" w:pos="0"/>
                    </w:tabs>
                    <w:adjustRightInd w:val="0"/>
                    <w:snapToGrid w:val="0"/>
                    <w:jc w:val="center"/>
                    <w:textAlignment w:val="baseline"/>
                    <w:rPr>
                      <w:color w:val="000000"/>
                      <w:spacing w:val="4"/>
                    </w:rPr>
                  </w:pPr>
                  <w:r>
                    <w:rPr>
                      <w:color w:val="000000"/>
                      <w:spacing w:val="4"/>
                    </w:rPr>
                    <w:t>固态</w:t>
                  </w:r>
                </w:p>
              </w:tc>
              <w:tc>
                <w:tcPr>
                  <w:tcW w:w="592" w:type="pct"/>
                  <w:vAlign w:val="center"/>
                </w:tcPr>
                <w:p>
                  <w:pPr>
                    <w:tabs>
                      <w:tab w:val="left" w:pos="0"/>
                    </w:tabs>
                    <w:adjustRightInd w:val="0"/>
                    <w:snapToGrid w:val="0"/>
                    <w:jc w:val="center"/>
                    <w:textAlignment w:val="baseline"/>
                    <w:rPr>
                      <w:color w:val="000000"/>
                      <w:spacing w:val="4"/>
                    </w:rPr>
                  </w:pPr>
                  <w:r>
                    <w:rPr>
                      <w:color w:val="000000"/>
                      <w:spacing w:val="4"/>
                    </w:rPr>
                    <w:t>生活垃圾</w:t>
                  </w:r>
                </w:p>
              </w:tc>
              <w:tc>
                <w:tcPr>
                  <w:tcW w:w="500" w:type="pct"/>
                  <w:vAlign w:val="center"/>
                </w:tcPr>
                <w:p>
                  <w:pPr>
                    <w:tabs>
                      <w:tab w:val="left" w:pos="0"/>
                    </w:tabs>
                    <w:adjustRightInd w:val="0"/>
                    <w:snapToGrid w:val="0"/>
                    <w:jc w:val="center"/>
                    <w:textAlignment w:val="baseline"/>
                    <w:rPr>
                      <w:color w:val="000000"/>
                      <w:spacing w:val="4"/>
                      <w:highlight w:val="yellow"/>
                    </w:rPr>
                  </w:pPr>
                  <w:r>
                    <w:rPr>
                      <w:rFonts w:hint="eastAsia"/>
                      <w:color w:val="000000"/>
                      <w:spacing w:val="4"/>
                    </w:rPr>
                    <w:t>30</w:t>
                  </w:r>
                </w:p>
              </w:tc>
              <w:tc>
                <w:tcPr>
                  <w:tcW w:w="542"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403"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1192" w:type="pct"/>
                  <w:vMerge w:val="restart"/>
                  <w:vAlign w:val="center"/>
                </w:tcPr>
                <w:p>
                  <w:pPr>
                    <w:tabs>
                      <w:tab w:val="left" w:pos="0"/>
                    </w:tabs>
                    <w:adjustRightInd w:val="0"/>
                    <w:snapToGrid w:val="0"/>
                    <w:jc w:val="center"/>
                    <w:textAlignment w:val="baseline"/>
                    <w:rPr>
                      <w:color w:val="000000"/>
                      <w:spacing w:val="4"/>
                    </w:rPr>
                  </w:pPr>
                  <w:r>
                    <w:rPr>
                      <w:color w:val="000000"/>
                      <w:spacing w:val="4"/>
                    </w:rPr>
                    <w:t>《固体废物鉴别标准通则（GB34330-2017）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4" w:hRule="atLeast"/>
                <w:jc w:val="center"/>
              </w:trPr>
              <w:tc>
                <w:tcPr>
                  <w:tcW w:w="227" w:type="pct"/>
                  <w:vAlign w:val="center"/>
                </w:tcPr>
                <w:p>
                  <w:pPr>
                    <w:tabs>
                      <w:tab w:val="left" w:pos="0"/>
                    </w:tabs>
                    <w:adjustRightInd w:val="0"/>
                    <w:snapToGrid w:val="0"/>
                    <w:jc w:val="center"/>
                    <w:textAlignment w:val="baseline"/>
                    <w:rPr>
                      <w:color w:val="000000"/>
                      <w:spacing w:val="4"/>
                    </w:rPr>
                  </w:pPr>
                  <w:r>
                    <w:rPr>
                      <w:color w:val="000000"/>
                      <w:spacing w:val="4"/>
                    </w:rPr>
                    <w:t>2</w:t>
                  </w:r>
                </w:p>
              </w:tc>
              <w:tc>
                <w:tcPr>
                  <w:tcW w:w="550" w:type="pct"/>
                  <w:vAlign w:val="center"/>
                </w:tcPr>
                <w:p>
                  <w:pPr>
                    <w:tabs>
                      <w:tab w:val="left" w:pos="0"/>
                    </w:tabs>
                    <w:adjustRightInd w:val="0"/>
                    <w:snapToGrid w:val="0"/>
                    <w:jc w:val="center"/>
                    <w:textAlignment w:val="baseline"/>
                    <w:rPr>
                      <w:color w:val="000000"/>
                      <w:spacing w:val="4"/>
                    </w:rPr>
                  </w:pPr>
                  <w:r>
                    <w:rPr>
                      <w:color w:val="000000"/>
                      <w:spacing w:val="4"/>
                    </w:rPr>
                    <w:t>一般废包装</w:t>
                  </w:r>
                </w:p>
              </w:tc>
              <w:tc>
                <w:tcPr>
                  <w:tcW w:w="658"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包装、材料使用</w:t>
                  </w:r>
                </w:p>
              </w:tc>
              <w:tc>
                <w:tcPr>
                  <w:tcW w:w="333"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固态</w:t>
                  </w:r>
                </w:p>
              </w:tc>
              <w:tc>
                <w:tcPr>
                  <w:tcW w:w="592"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塑料、纸箱</w:t>
                  </w:r>
                </w:p>
              </w:tc>
              <w:tc>
                <w:tcPr>
                  <w:tcW w:w="500" w:type="pct"/>
                  <w:vAlign w:val="center"/>
                </w:tcPr>
                <w:p>
                  <w:pPr>
                    <w:tabs>
                      <w:tab w:val="left" w:pos="0"/>
                    </w:tabs>
                    <w:adjustRightInd w:val="0"/>
                    <w:snapToGrid w:val="0"/>
                    <w:jc w:val="center"/>
                    <w:textAlignment w:val="baseline"/>
                    <w:rPr>
                      <w:color w:val="000000"/>
                      <w:spacing w:val="4"/>
                    </w:rPr>
                  </w:pPr>
                  <w:r>
                    <w:rPr>
                      <w:color w:val="000000"/>
                      <w:spacing w:val="4"/>
                    </w:rPr>
                    <w:t>1.5</w:t>
                  </w:r>
                </w:p>
              </w:tc>
              <w:tc>
                <w:tcPr>
                  <w:tcW w:w="542"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403"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1192"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4" w:hRule="atLeast"/>
                <w:jc w:val="center"/>
              </w:trPr>
              <w:tc>
                <w:tcPr>
                  <w:tcW w:w="227" w:type="pct"/>
                  <w:vAlign w:val="center"/>
                </w:tcPr>
                <w:p>
                  <w:pPr>
                    <w:tabs>
                      <w:tab w:val="left" w:pos="0"/>
                    </w:tabs>
                    <w:adjustRightInd w:val="0"/>
                    <w:snapToGrid w:val="0"/>
                    <w:jc w:val="center"/>
                    <w:textAlignment w:val="baseline"/>
                    <w:rPr>
                      <w:color w:val="000000"/>
                      <w:spacing w:val="4"/>
                    </w:rPr>
                  </w:pPr>
                  <w:r>
                    <w:rPr>
                      <w:rFonts w:hint="eastAsia"/>
                      <w:color w:val="000000"/>
                      <w:spacing w:val="4"/>
                    </w:rPr>
                    <w:t>3</w:t>
                  </w:r>
                </w:p>
              </w:tc>
              <w:tc>
                <w:tcPr>
                  <w:tcW w:w="550" w:type="pct"/>
                  <w:vAlign w:val="center"/>
                </w:tcPr>
                <w:p>
                  <w:pPr>
                    <w:pStyle w:val="61"/>
                    <w:rPr>
                      <w:color w:val="000000"/>
                      <w:szCs w:val="21"/>
                    </w:rPr>
                  </w:pPr>
                  <w:r>
                    <w:rPr>
                      <w:rFonts w:hint="eastAsia"/>
                      <w:color w:val="000000"/>
                      <w:szCs w:val="21"/>
                    </w:rPr>
                    <w:t>废锡膏</w:t>
                  </w:r>
                </w:p>
              </w:tc>
              <w:tc>
                <w:tcPr>
                  <w:tcW w:w="658" w:type="pct"/>
                  <w:vAlign w:val="center"/>
                </w:tcPr>
                <w:p>
                  <w:pPr>
                    <w:pStyle w:val="61"/>
                    <w:rPr>
                      <w:color w:val="000000"/>
                      <w:szCs w:val="21"/>
                    </w:rPr>
                  </w:pPr>
                  <w:r>
                    <w:rPr>
                      <w:rFonts w:hint="eastAsia"/>
                      <w:color w:val="000000"/>
                      <w:szCs w:val="21"/>
                    </w:rPr>
                    <w:t>印刷</w:t>
                  </w:r>
                </w:p>
              </w:tc>
              <w:tc>
                <w:tcPr>
                  <w:tcW w:w="333" w:type="pct"/>
                  <w:vAlign w:val="center"/>
                </w:tcPr>
                <w:p>
                  <w:pPr>
                    <w:tabs>
                      <w:tab w:val="left" w:pos="0"/>
                    </w:tabs>
                    <w:adjustRightInd w:val="0"/>
                    <w:snapToGrid w:val="0"/>
                    <w:jc w:val="center"/>
                    <w:textAlignment w:val="baseline"/>
                    <w:rPr>
                      <w:color w:val="000000"/>
                      <w:spacing w:val="4"/>
                      <w:szCs w:val="22"/>
                    </w:rPr>
                  </w:pPr>
                  <w:r>
                    <w:rPr>
                      <w:rFonts w:hint="eastAsia"/>
                      <w:color w:val="000000"/>
                      <w:spacing w:val="4"/>
                      <w:szCs w:val="22"/>
                    </w:rPr>
                    <w:t>固态</w:t>
                  </w:r>
                </w:p>
              </w:tc>
              <w:tc>
                <w:tcPr>
                  <w:tcW w:w="592" w:type="pct"/>
                  <w:vAlign w:val="center"/>
                </w:tcPr>
                <w:p>
                  <w:pPr>
                    <w:pStyle w:val="61"/>
                    <w:rPr>
                      <w:color w:val="000000"/>
                      <w:szCs w:val="21"/>
                    </w:rPr>
                  </w:pPr>
                  <w:r>
                    <w:rPr>
                      <w:rFonts w:hint="eastAsia"/>
                      <w:color w:val="000000"/>
                      <w:szCs w:val="21"/>
                    </w:rPr>
                    <w:t>锡膏</w:t>
                  </w:r>
                </w:p>
              </w:tc>
              <w:tc>
                <w:tcPr>
                  <w:tcW w:w="500" w:type="pct"/>
                  <w:vAlign w:val="center"/>
                </w:tcPr>
                <w:p>
                  <w:pPr>
                    <w:tabs>
                      <w:tab w:val="left" w:pos="0"/>
                    </w:tabs>
                    <w:adjustRightInd w:val="0"/>
                    <w:snapToGrid w:val="0"/>
                    <w:jc w:val="center"/>
                    <w:textAlignment w:val="baseline"/>
                    <w:rPr>
                      <w:color w:val="000000"/>
                      <w:spacing w:val="4"/>
                    </w:rPr>
                  </w:pPr>
                  <w:r>
                    <w:rPr>
                      <w:rFonts w:hint="eastAsia"/>
                      <w:color w:val="000000"/>
                      <w:spacing w:val="4"/>
                    </w:rPr>
                    <w:t>0.05</w:t>
                  </w:r>
                </w:p>
              </w:tc>
              <w:tc>
                <w:tcPr>
                  <w:tcW w:w="542"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403"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1192"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4" w:hRule="atLeast"/>
                <w:jc w:val="center"/>
              </w:trPr>
              <w:tc>
                <w:tcPr>
                  <w:tcW w:w="227" w:type="pct"/>
                  <w:vAlign w:val="center"/>
                </w:tcPr>
                <w:p>
                  <w:pPr>
                    <w:tabs>
                      <w:tab w:val="left" w:pos="0"/>
                    </w:tabs>
                    <w:adjustRightInd w:val="0"/>
                    <w:snapToGrid w:val="0"/>
                    <w:jc w:val="center"/>
                    <w:textAlignment w:val="baseline"/>
                    <w:rPr>
                      <w:color w:val="000000"/>
                      <w:spacing w:val="4"/>
                    </w:rPr>
                  </w:pPr>
                  <w:r>
                    <w:rPr>
                      <w:rFonts w:hint="eastAsia"/>
                      <w:color w:val="000000"/>
                      <w:spacing w:val="4"/>
                    </w:rPr>
                    <w:t>4</w:t>
                  </w:r>
                </w:p>
              </w:tc>
              <w:tc>
                <w:tcPr>
                  <w:tcW w:w="550" w:type="pct"/>
                  <w:vAlign w:val="center"/>
                </w:tcPr>
                <w:p>
                  <w:pPr>
                    <w:pStyle w:val="61"/>
                    <w:rPr>
                      <w:color w:val="000000"/>
                      <w:szCs w:val="21"/>
                    </w:rPr>
                  </w:pPr>
                  <w:r>
                    <w:rPr>
                      <w:rFonts w:hint="eastAsia"/>
                      <w:color w:val="000000"/>
                      <w:szCs w:val="21"/>
                    </w:rPr>
                    <w:t>清洗废液</w:t>
                  </w:r>
                </w:p>
              </w:tc>
              <w:tc>
                <w:tcPr>
                  <w:tcW w:w="658" w:type="pct"/>
                  <w:vAlign w:val="center"/>
                </w:tcPr>
                <w:p>
                  <w:pPr>
                    <w:pStyle w:val="61"/>
                    <w:rPr>
                      <w:color w:val="000000"/>
                      <w:spacing w:val="4"/>
                    </w:rPr>
                  </w:pPr>
                  <w:r>
                    <w:rPr>
                      <w:rFonts w:hint="eastAsia"/>
                      <w:color w:val="000000"/>
                      <w:szCs w:val="21"/>
                      <w:lang w:eastAsia="zh-CN"/>
                    </w:rPr>
                    <w:t>网版</w:t>
                  </w:r>
                  <w:r>
                    <w:rPr>
                      <w:rFonts w:hint="eastAsia"/>
                      <w:color w:val="000000"/>
                      <w:szCs w:val="21"/>
                    </w:rPr>
                    <w:t>印刷</w:t>
                  </w:r>
                </w:p>
              </w:tc>
              <w:tc>
                <w:tcPr>
                  <w:tcW w:w="333" w:type="pct"/>
                  <w:vAlign w:val="center"/>
                </w:tcPr>
                <w:p>
                  <w:pPr>
                    <w:tabs>
                      <w:tab w:val="left" w:pos="0"/>
                    </w:tabs>
                    <w:adjustRightInd w:val="0"/>
                    <w:snapToGrid w:val="0"/>
                    <w:jc w:val="center"/>
                    <w:textAlignment w:val="baseline"/>
                    <w:rPr>
                      <w:color w:val="000000"/>
                      <w:spacing w:val="4"/>
                    </w:rPr>
                  </w:pPr>
                  <w:r>
                    <w:rPr>
                      <w:rFonts w:hint="eastAsia"/>
                      <w:color w:val="000000"/>
                      <w:spacing w:val="4"/>
                      <w:szCs w:val="22"/>
                    </w:rPr>
                    <w:t>液</w:t>
                  </w:r>
                  <w:r>
                    <w:rPr>
                      <w:color w:val="000000"/>
                      <w:spacing w:val="4"/>
                      <w:szCs w:val="22"/>
                    </w:rPr>
                    <w:t>态</w:t>
                  </w:r>
                </w:p>
              </w:tc>
              <w:tc>
                <w:tcPr>
                  <w:tcW w:w="592" w:type="pct"/>
                  <w:vAlign w:val="center"/>
                </w:tcPr>
                <w:p>
                  <w:pPr>
                    <w:pStyle w:val="61"/>
                    <w:rPr>
                      <w:color w:val="000000"/>
                      <w:spacing w:val="4"/>
                    </w:rPr>
                  </w:pPr>
                  <w:r>
                    <w:rPr>
                      <w:rFonts w:hint="eastAsia"/>
                      <w:color w:val="000000"/>
                      <w:szCs w:val="21"/>
                      <w:lang w:eastAsia="zh-CN"/>
                    </w:rPr>
                    <w:t>网版</w:t>
                  </w:r>
                  <w:r>
                    <w:rPr>
                      <w:rFonts w:hint="eastAsia"/>
                      <w:color w:val="000000"/>
                      <w:szCs w:val="21"/>
                    </w:rPr>
                    <w:t>清洗剂</w:t>
                  </w:r>
                </w:p>
              </w:tc>
              <w:tc>
                <w:tcPr>
                  <w:tcW w:w="500" w:type="pct"/>
                  <w:vAlign w:val="center"/>
                </w:tcPr>
                <w:p>
                  <w:pPr>
                    <w:tabs>
                      <w:tab w:val="left" w:pos="0"/>
                    </w:tabs>
                    <w:adjustRightInd w:val="0"/>
                    <w:snapToGrid w:val="0"/>
                    <w:jc w:val="center"/>
                    <w:textAlignment w:val="baseline"/>
                    <w:rPr>
                      <w:color w:val="000000"/>
                      <w:spacing w:val="4"/>
                    </w:rPr>
                  </w:pPr>
                  <w:r>
                    <w:rPr>
                      <w:rFonts w:hint="eastAsia"/>
                      <w:color w:val="000000"/>
                      <w:spacing w:val="4"/>
                    </w:rPr>
                    <w:t>0.172</w:t>
                  </w:r>
                </w:p>
              </w:tc>
              <w:tc>
                <w:tcPr>
                  <w:tcW w:w="542"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403"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1192"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5" w:hRule="atLeast"/>
                <w:jc w:val="center"/>
              </w:trPr>
              <w:tc>
                <w:tcPr>
                  <w:tcW w:w="227" w:type="pct"/>
                  <w:vAlign w:val="center"/>
                </w:tcPr>
                <w:p>
                  <w:pPr>
                    <w:tabs>
                      <w:tab w:val="left" w:pos="0"/>
                    </w:tabs>
                    <w:adjustRightInd w:val="0"/>
                    <w:snapToGrid w:val="0"/>
                    <w:jc w:val="center"/>
                    <w:textAlignment w:val="baseline"/>
                    <w:rPr>
                      <w:color w:val="000000"/>
                      <w:spacing w:val="4"/>
                    </w:rPr>
                  </w:pPr>
                  <w:r>
                    <w:rPr>
                      <w:color w:val="000000"/>
                      <w:spacing w:val="4"/>
                    </w:rPr>
                    <w:t>5</w:t>
                  </w:r>
                </w:p>
              </w:tc>
              <w:tc>
                <w:tcPr>
                  <w:tcW w:w="550" w:type="pct"/>
                  <w:vAlign w:val="center"/>
                </w:tcPr>
                <w:p>
                  <w:pPr>
                    <w:pStyle w:val="61"/>
                    <w:rPr>
                      <w:color w:val="000000"/>
                      <w:szCs w:val="21"/>
                    </w:rPr>
                  </w:pPr>
                  <w:r>
                    <w:rPr>
                      <w:color w:val="000000"/>
                      <w:szCs w:val="21"/>
                    </w:rPr>
                    <w:t>废擦拭纸</w:t>
                  </w:r>
                </w:p>
              </w:tc>
              <w:tc>
                <w:tcPr>
                  <w:tcW w:w="658" w:type="pct"/>
                  <w:vAlign w:val="center"/>
                </w:tcPr>
                <w:p>
                  <w:pPr>
                    <w:pStyle w:val="61"/>
                    <w:rPr>
                      <w:color w:val="000000"/>
                      <w:spacing w:val="4"/>
                    </w:rPr>
                  </w:pPr>
                  <w:r>
                    <w:rPr>
                      <w:rFonts w:hint="eastAsia"/>
                      <w:color w:val="000000"/>
                      <w:szCs w:val="21"/>
                    </w:rPr>
                    <w:t>清除涂覆</w:t>
                  </w:r>
                </w:p>
              </w:tc>
              <w:tc>
                <w:tcPr>
                  <w:tcW w:w="333" w:type="pct"/>
                  <w:vAlign w:val="center"/>
                </w:tcPr>
                <w:p>
                  <w:pPr>
                    <w:tabs>
                      <w:tab w:val="left" w:pos="0"/>
                    </w:tabs>
                    <w:adjustRightInd w:val="0"/>
                    <w:snapToGrid w:val="0"/>
                    <w:jc w:val="center"/>
                    <w:textAlignment w:val="baseline"/>
                    <w:rPr>
                      <w:color w:val="000000"/>
                      <w:spacing w:val="4"/>
                    </w:rPr>
                  </w:pPr>
                  <w:r>
                    <w:rPr>
                      <w:color w:val="000000"/>
                      <w:spacing w:val="4"/>
                      <w:szCs w:val="22"/>
                    </w:rPr>
                    <w:t>固态</w:t>
                  </w:r>
                </w:p>
              </w:tc>
              <w:tc>
                <w:tcPr>
                  <w:tcW w:w="592" w:type="pct"/>
                  <w:vAlign w:val="center"/>
                </w:tcPr>
                <w:p>
                  <w:pPr>
                    <w:pStyle w:val="61"/>
                    <w:rPr>
                      <w:color w:val="000000"/>
                      <w:spacing w:val="4"/>
                    </w:rPr>
                  </w:pPr>
                  <w:r>
                    <w:rPr>
                      <w:color w:val="000000"/>
                      <w:szCs w:val="21"/>
                    </w:rPr>
                    <w:t>废擦拭纸、酒精</w:t>
                  </w:r>
                </w:p>
              </w:tc>
              <w:tc>
                <w:tcPr>
                  <w:tcW w:w="500" w:type="pct"/>
                  <w:vAlign w:val="center"/>
                </w:tcPr>
                <w:p>
                  <w:pPr>
                    <w:tabs>
                      <w:tab w:val="left" w:pos="0"/>
                    </w:tabs>
                    <w:adjustRightInd w:val="0"/>
                    <w:snapToGrid w:val="0"/>
                    <w:jc w:val="center"/>
                    <w:textAlignment w:val="baseline"/>
                    <w:rPr>
                      <w:rFonts w:hint="eastAsia" w:eastAsia="宋体"/>
                      <w:color w:val="000000"/>
                      <w:spacing w:val="4"/>
                      <w:lang w:val="en-US" w:eastAsia="zh-CN"/>
                    </w:rPr>
                  </w:pPr>
                  <w:r>
                    <w:rPr>
                      <w:rFonts w:hint="eastAsia"/>
                      <w:color w:val="000000"/>
                      <w:spacing w:val="4"/>
                    </w:rPr>
                    <w:t>0.</w:t>
                  </w:r>
                  <w:r>
                    <w:rPr>
                      <w:rFonts w:hint="eastAsia"/>
                      <w:color w:val="000000"/>
                      <w:spacing w:val="4"/>
                      <w:lang w:val="en-US" w:eastAsia="zh-CN"/>
                    </w:rPr>
                    <w:t>1</w:t>
                  </w:r>
                </w:p>
              </w:tc>
              <w:tc>
                <w:tcPr>
                  <w:tcW w:w="542"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403"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1192"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5" w:hRule="atLeast"/>
                <w:jc w:val="center"/>
              </w:trPr>
              <w:tc>
                <w:tcPr>
                  <w:tcW w:w="227" w:type="pct"/>
                  <w:vAlign w:val="center"/>
                </w:tcPr>
                <w:p>
                  <w:pPr>
                    <w:tabs>
                      <w:tab w:val="left" w:pos="0"/>
                    </w:tabs>
                    <w:adjustRightInd w:val="0"/>
                    <w:snapToGrid w:val="0"/>
                    <w:jc w:val="center"/>
                    <w:textAlignment w:val="baseline"/>
                    <w:rPr>
                      <w:color w:val="000000"/>
                      <w:spacing w:val="4"/>
                    </w:rPr>
                  </w:pPr>
                  <w:r>
                    <w:rPr>
                      <w:rFonts w:hint="eastAsia"/>
                      <w:color w:val="000000"/>
                      <w:spacing w:val="4"/>
                    </w:rPr>
                    <w:t>6</w:t>
                  </w:r>
                </w:p>
              </w:tc>
              <w:tc>
                <w:tcPr>
                  <w:tcW w:w="550" w:type="pct"/>
                  <w:vAlign w:val="center"/>
                </w:tcPr>
                <w:p>
                  <w:pPr>
                    <w:pStyle w:val="61"/>
                    <w:rPr>
                      <w:color w:val="000000"/>
                      <w:szCs w:val="21"/>
                    </w:rPr>
                  </w:pPr>
                  <w:r>
                    <w:rPr>
                      <w:rFonts w:hint="eastAsia"/>
                      <w:color w:val="000000"/>
                      <w:szCs w:val="21"/>
                    </w:rPr>
                    <w:t>废包装桶</w:t>
                  </w:r>
                </w:p>
              </w:tc>
              <w:tc>
                <w:tcPr>
                  <w:tcW w:w="658" w:type="pct"/>
                  <w:vAlign w:val="center"/>
                </w:tcPr>
                <w:p>
                  <w:pPr>
                    <w:pStyle w:val="61"/>
                    <w:rPr>
                      <w:color w:val="000000"/>
                      <w:szCs w:val="21"/>
                    </w:rPr>
                  </w:pPr>
                  <w:r>
                    <w:rPr>
                      <w:rFonts w:hint="eastAsia"/>
                      <w:color w:val="000000"/>
                      <w:szCs w:val="21"/>
                    </w:rPr>
                    <w:t>化学品原辅料包装</w:t>
                  </w:r>
                </w:p>
              </w:tc>
              <w:tc>
                <w:tcPr>
                  <w:tcW w:w="333"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固态</w:t>
                  </w:r>
                </w:p>
              </w:tc>
              <w:tc>
                <w:tcPr>
                  <w:tcW w:w="592" w:type="pct"/>
                  <w:vAlign w:val="center"/>
                </w:tcPr>
                <w:p>
                  <w:pPr>
                    <w:pStyle w:val="61"/>
                    <w:rPr>
                      <w:color w:val="000000"/>
                      <w:szCs w:val="21"/>
                    </w:rPr>
                  </w:pPr>
                  <w:r>
                    <w:rPr>
                      <w:rFonts w:hint="eastAsia"/>
                      <w:color w:val="000000"/>
                      <w:szCs w:val="21"/>
                    </w:rPr>
                    <w:t>包装桶、袋</w:t>
                  </w:r>
                </w:p>
              </w:tc>
              <w:tc>
                <w:tcPr>
                  <w:tcW w:w="500" w:type="pct"/>
                  <w:vAlign w:val="center"/>
                </w:tcPr>
                <w:p>
                  <w:pPr>
                    <w:tabs>
                      <w:tab w:val="left" w:pos="0"/>
                    </w:tabs>
                    <w:adjustRightInd w:val="0"/>
                    <w:snapToGrid w:val="0"/>
                    <w:jc w:val="center"/>
                    <w:textAlignment w:val="baseline"/>
                    <w:rPr>
                      <w:rFonts w:hint="default" w:eastAsia="宋体"/>
                      <w:color w:val="000000"/>
                      <w:spacing w:val="4"/>
                      <w:lang w:val="en-US" w:eastAsia="zh-CN"/>
                    </w:rPr>
                  </w:pPr>
                  <w:r>
                    <w:rPr>
                      <w:rFonts w:hint="eastAsia"/>
                      <w:color w:val="000000"/>
                      <w:spacing w:val="4"/>
                      <w:lang w:val="en-US" w:eastAsia="zh-CN"/>
                    </w:rPr>
                    <w:t>0.4</w:t>
                  </w:r>
                </w:p>
              </w:tc>
              <w:tc>
                <w:tcPr>
                  <w:tcW w:w="542"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403"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1192"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5" w:hRule="atLeast"/>
                <w:jc w:val="center"/>
              </w:trPr>
              <w:tc>
                <w:tcPr>
                  <w:tcW w:w="227" w:type="pct"/>
                  <w:vAlign w:val="center"/>
                </w:tcPr>
                <w:p>
                  <w:pPr>
                    <w:tabs>
                      <w:tab w:val="left" w:pos="0"/>
                    </w:tabs>
                    <w:adjustRightInd w:val="0"/>
                    <w:snapToGrid w:val="0"/>
                    <w:jc w:val="center"/>
                    <w:textAlignment w:val="baseline"/>
                    <w:rPr>
                      <w:rFonts w:hint="eastAsia" w:eastAsia="宋体"/>
                      <w:color w:val="000000"/>
                      <w:spacing w:val="4"/>
                      <w:lang w:eastAsia="zh-CN"/>
                    </w:rPr>
                  </w:pPr>
                  <w:r>
                    <w:rPr>
                      <w:rFonts w:hint="eastAsia"/>
                      <w:color w:val="000000"/>
                      <w:spacing w:val="4"/>
                      <w:lang w:val="en-US" w:eastAsia="zh-CN"/>
                    </w:rPr>
                    <w:t>7</w:t>
                  </w:r>
                </w:p>
              </w:tc>
              <w:tc>
                <w:tcPr>
                  <w:tcW w:w="550" w:type="pct"/>
                  <w:vAlign w:val="center"/>
                </w:tcPr>
                <w:p>
                  <w:pPr>
                    <w:tabs>
                      <w:tab w:val="left" w:pos="0"/>
                    </w:tabs>
                    <w:adjustRightInd w:val="0"/>
                    <w:snapToGrid w:val="0"/>
                    <w:jc w:val="center"/>
                    <w:textAlignment w:val="baseline"/>
                    <w:rPr>
                      <w:color w:val="000000"/>
                      <w:spacing w:val="4"/>
                    </w:rPr>
                  </w:pPr>
                  <w:r>
                    <w:rPr>
                      <w:color w:val="000000"/>
                      <w:spacing w:val="4"/>
                    </w:rPr>
                    <w:t>废活性炭</w:t>
                  </w:r>
                </w:p>
              </w:tc>
              <w:tc>
                <w:tcPr>
                  <w:tcW w:w="658" w:type="pct"/>
                  <w:vAlign w:val="center"/>
                </w:tcPr>
                <w:p>
                  <w:pPr>
                    <w:tabs>
                      <w:tab w:val="left" w:pos="0"/>
                    </w:tabs>
                    <w:adjustRightInd w:val="0"/>
                    <w:snapToGrid w:val="0"/>
                    <w:jc w:val="center"/>
                    <w:textAlignment w:val="baseline"/>
                    <w:rPr>
                      <w:color w:val="000000"/>
                      <w:spacing w:val="4"/>
                    </w:rPr>
                  </w:pPr>
                  <w:r>
                    <w:rPr>
                      <w:color w:val="000000"/>
                      <w:spacing w:val="4"/>
                    </w:rPr>
                    <w:t>废气处理</w:t>
                  </w:r>
                </w:p>
              </w:tc>
              <w:tc>
                <w:tcPr>
                  <w:tcW w:w="333" w:type="pct"/>
                  <w:vAlign w:val="center"/>
                </w:tcPr>
                <w:p>
                  <w:pPr>
                    <w:tabs>
                      <w:tab w:val="left" w:pos="0"/>
                    </w:tabs>
                    <w:adjustRightInd w:val="0"/>
                    <w:snapToGrid w:val="0"/>
                    <w:jc w:val="center"/>
                    <w:textAlignment w:val="baseline"/>
                    <w:rPr>
                      <w:color w:val="000000"/>
                      <w:spacing w:val="4"/>
                    </w:rPr>
                  </w:pPr>
                  <w:r>
                    <w:rPr>
                      <w:color w:val="000000"/>
                      <w:spacing w:val="4"/>
                    </w:rPr>
                    <w:t>固态</w:t>
                  </w:r>
                </w:p>
              </w:tc>
              <w:tc>
                <w:tcPr>
                  <w:tcW w:w="592" w:type="pct"/>
                  <w:vAlign w:val="center"/>
                </w:tcPr>
                <w:p>
                  <w:pPr>
                    <w:tabs>
                      <w:tab w:val="left" w:pos="0"/>
                    </w:tabs>
                    <w:adjustRightInd w:val="0"/>
                    <w:snapToGrid w:val="0"/>
                    <w:jc w:val="center"/>
                    <w:textAlignment w:val="baseline"/>
                    <w:rPr>
                      <w:color w:val="000000"/>
                      <w:spacing w:val="4"/>
                    </w:rPr>
                  </w:pPr>
                  <w:r>
                    <w:rPr>
                      <w:color w:val="000000"/>
                      <w:spacing w:val="4"/>
                    </w:rPr>
                    <w:t>有机物、活性炭</w:t>
                  </w:r>
                </w:p>
              </w:tc>
              <w:tc>
                <w:tcPr>
                  <w:tcW w:w="500" w:type="pct"/>
                  <w:vAlign w:val="center"/>
                </w:tcPr>
                <w:p>
                  <w:pPr>
                    <w:tabs>
                      <w:tab w:val="left" w:pos="0"/>
                    </w:tabs>
                    <w:adjustRightInd w:val="0"/>
                    <w:snapToGrid w:val="0"/>
                    <w:jc w:val="center"/>
                    <w:textAlignment w:val="baseline"/>
                    <w:rPr>
                      <w:color w:val="000000"/>
                      <w:spacing w:val="4"/>
                    </w:rPr>
                  </w:pPr>
                  <w:r>
                    <w:rPr>
                      <w:rFonts w:hint="eastAsia"/>
                      <w:color w:val="000000"/>
                      <w:spacing w:val="4"/>
                    </w:rPr>
                    <w:t>6.59</w:t>
                  </w:r>
                </w:p>
              </w:tc>
              <w:tc>
                <w:tcPr>
                  <w:tcW w:w="542"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403" w:type="pct"/>
                  <w:vAlign w:val="center"/>
                </w:tcPr>
                <w:p>
                  <w:pPr>
                    <w:tabs>
                      <w:tab w:val="left" w:pos="0"/>
                    </w:tabs>
                    <w:adjustRightInd w:val="0"/>
                    <w:snapToGrid w:val="0"/>
                    <w:jc w:val="center"/>
                    <w:textAlignment w:val="baseline"/>
                    <w:rPr>
                      <w:color w:val="000000"/>
                      <w:spacing w:val="4"/>
                    </w:rPr>
                  </w:pPr>
                  <w:r>
                    <w:rPr>
                      <w:color w:val="000000"/>
                      <w:spacing w:val="4"/>
                    </w:rPr>
                    <w:t>/</w:t>
                  </w:r>
                </w:p>
              </w:tc>
              <w:tc>
                <w:tcPr>
                  <w:tcW w:w="1192" w:type="pct"/>
                  <w:vMerge w:val="continue"/>
                  <w:vAlign w:val="center"/>
                </w:tcPr>
                <w:p>
                  <w:pPr>
                    <w:tabs>
                      <w:tab w:val="left" w:pos="0"/>
                    </w:tabs>
                    <w:adjustRightInd w:val="0"/>
                    <w:snapToGrid w:val="0"/>
                    <w:jc w:val="center"/>
                    <w:textAlignment w:val="baseline"/>
                    <w:rPr>
                      <w:color w:val="000000"/>
                      <w:spacing w:val="4"/>
                    </w:rPr>
                  </w:pPr>
                </w:p>
              </w:tc>
            </w:tr>
          </w:tbl>
          <w:p>
            <w:pPr>
              <w:tabs>
                <w:tab w:val="left" w:pos="0"/>
              </w:tabs>
              <w:spacing w:line="360" w:lineRule="auto"/>
              <w:ind w:firstLine="480" w:firstLineChars="200"/>
              <w:jc w:val="left"/>
              <w:rPr>
                <w:color w:val="000000"/>
                <w:sz w:val="24"/>
              </w:rPr>
            </w:pPr>
            <w:r>
              <w:rPr>
                <w:color w:val="000000"/>
                <w:sz w:val="24"/>
              </w:rPr>
              <w:t>固体废物判定结果汇总见下表。</w:t>
            </w:r>
          </w:p>
          <w:p>
            <w:pPr>
              <w:snapToGrid w:val="0"/>
              <w:spacing w:before="60"/>
              <w:jc w:val="center"/>
              <w:rPr>
                <w:b/>
                <w:color w:val="000000"/>
                <w:sz w:val="24"/>
              </w:rPr>
            </w:pPr>
            <w:r>
              <w:rPr>
                <w:b/>
                <w:color w:val="000000"/>
                <w:sz w:val="24"/>
              </w:rPr>
              <w:t>表4-22  建设项目固体废物分析结果汇总表</w:t>
            </w:r>
          </w:p>
          <w:tbl>
            <w:tblPr>
              <w:tblStyle w:val="2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57" w:type="dxa"/>
                <w:bottom w:w="0" w:type="dxa"/>
                <w:right w:w="57" w:type="dxa"/>
              </w:tblCellMar>
            </w:tblPr>
            <w:tblGrid>
              <w:gridCol w:w="410"/>
              <w:gridCol w:w="1030"/>
              <w:gridCol w:w="695"/>
              <w:gridCol w:w="1058"/>
              <w:gridCol w:w="591"/>
              <w:gridCol w:w="909"/>
              <w:gridCol w:w="1306"/>
              <w:gridCol w:w="757"/>
              <w:gridCol w:w="1402"/>
              <w:gridCol w:w="9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676" w:hRule="atLeast"/>
                <w:jc w:val="center"/>
              </w:trPr>
              <w:tc>
                <w:tcPr>
                  <w:tcW w:w="226"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序号</w:t>
                  </w:r>
                </w:p>
              </w:tc>
              <w:tc>
                <w:tcPr>
                  <w:tcW w:w="568"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固废名称</w:t>
                  </w:r>
                </w:p>
              </w:tc>
              <w:tc>
                <w:tcPr>
                  <w:tcW w:w="383"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属性</w:t>
                  </w:r>
                </w:p>
              </w:tc>
              <w:tc>
                <w:tcPr>
                  <w:tcW w:w="583"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产生</w:t>
                  </w:r>
                </w:p>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工序</w:t>
                  </w:r>
                </w:p>
              </w:tc>
              <w:tc>
                <w:tcPr>
                  <w:tcW w:w="326"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形态</w:t>
                  </w:r>
                </w:p>
              </w:tc>
              <w:tc>
                <w:tcPr>
                  <w:tcW w:w="501" w:type="pct"/>
                  <w:vAlign w:val="center"/>
                </w:tcPr>
                <w:p>
                  <w:pPr>
                    <w:tabs>
                      <w:tab w:val="left" w:pos="0"/>
                    </w:tabs>
                    <w:adjustRightInd w:val="0"/>
                    <w:snapToGrid w:val="0"/>
                    <w:jc w:val="center"/>
                    <w:textAlignment w:val="baseline"/>
                    <w:rPr>
                      <w:b/>
                      <w:snapToGrid w:val="0"/>
                      <w:color w:val="000000"/>
                      <w:spacing w:val="4"/>
                      <w:szCs w:val="21"/>
                    </w:rPr>
                  </w:pPr>
                  <w:r>
                    <w:rPr>
                      <w:b/>
                      <w:color w:val="000000"/>
                      <w:spacing w:val="4"/>
                      <w:szCs w:val="21"/>
                    </w:rPr>
                    <w:t>主要成分</w:t>
                  </w:r>
                </w:p>
              </w:tc>
              <w:tc>
                <w:tcPr>
                  <w:tcW w:w="720"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危险特性鉴别方法</w:t>
                  </w:r>
                </w:p>
              </w:tc>
              <w:tc>
                <w:tcPr>
                  <w:tcW w:w="417"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危险特性</w:t>
                  </w:r>
                </w:p>
              </w:tc>
              <w:tc>
                <w:tcPr>
                  <w:tcW w:w="773"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废物类别</w:t>
                  </w:r>
                </w:p>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及废物代码</w:t>
                  </w:r>
                </w:p>
              </w:tc>
              <w:tc>
                <w:tcPr>
                  <w:tcW w:w="499" w:type="pct"/>
                  <w:vAlign w:val="center"/>
                </w:tcPr>
                <w:p>
                  <w:pPr>
                    <w:tabs>
                      <w:tab w:val="left" w:pos="0"/>
                    </w:tabs>
                    <w:adjustRightInd w:val="0"/>
                    <w:snapToGrid w:val="0"/>
                    <w:jc w:val="center"/>
                    <w:textAlignment w:val="baseline"/>
                    <w:rPr>
                      <w:b/>
                      <w:snapToGrid w:val="0"/>
                      <w:color w:val="000000"/>
                      <w:spacing w:val="4"/>
                      <w:szCs w:val="21"/>
                    </w:rPr>
                  </w:pPr>
                  <w:r>
                    <w:rPr>
                      <w:b/>
                      <w:snapToGrid w:val="0"/>
                      <w:color w:val="000000"/>
                      <w:spacing w:val="4"/>
                      <w:szCs w:val="21"/>
                    </w:rPr>
                    <w:t>估算产生量（t/a）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3" w:hRule="atLeast"/>
                <w:jc w:val="center"/>
              </w:trPr>
              <w:tc>
                <w:tcPr>
                  <w:tcW w:w="226"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1</w:t>
                  </w:r>
                </w:p>
              </w:tc>
              <w:tc>
                <w:tcPr>
                  <w:tcW w:w="568" w:type="pct"/>
                  <w:vAlign w:val="center"/>
                </w:tcPr>
                <w:p>
                  <w:pPr>
                    <w:tabs>
                      <w:tab w:val="left" w:pos="0"/>
                    </w:tabs>
                    <w:adjustRightInd w:val="0"/>
                    <w:snapToGrid w:val="0"/>
                    <w:jc w:val="center"/>
                    <w:textAlignment w:val="baseline"/>
                    <w:rPr>
                      <w:color w:val="000000"/>
                      <w:spacing w:val="4"/>
                    </w:rPr>
                  </w:pPr>
                  <w:r>
                    <w:rPr>
                      <w:color w:val="000000"/>
                      <w:spacing w:val="4"/>
                      <w:szCs w:val="21"/>
                    </w:rPr>
                    <w:t>生活垃圾</w:t>
                  </w:r>
                </w:p>
              </w:tc>
              <w:tc>
                <w:tcPr>
                  <w:tcW w:w="383"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生活垃圾</w:t>
                  </w:r>
                </w:p>
              </w:tc>
              <w:tc>
                <w:tcPr>
                  <w:tcW w:w="583" w:type="pct"/>
                  <w:vAlign w:val="center"/>
                </w:tcPr>
                <w:p>
                  <w:pPr>
                    <w:tabs>
                      <w:tab w:val="left" w:pos="0"/>
                    </w:tabs>
                    <w:adjustRightInd w:val="0"/>
                    <w:snapToGrid w:val="0"/>
                    <w:jc w:val="center"/>
                    <w:textAlignment w:val="baseline"/>
                    <w:rPr>
                      <w:color w:val="000000"/>
                      <w:spacing w:val="4"/>
                      <w:szCs w:val="22"/>
                    </w:rPr>
                  </w:pPr>
                  <w:r>
                    <w:rPr>
                      <w:color w:val="000000"/>
                      <w:spacing w:val="4"/>
                      <w:szCs w:val="21"/>
                    </w:rPr>
                    <w:t>员工生活</w:t>
                  </w:r>
                </w:p>
              </w:tc>
              <w:tc>
                <w:tcPr>
                  <w:tcW w:w="326" w:type="pct"/>
                  <w:vAlign w:val="center"/>
                </w:tcPr>
                <w:p>
                  <w:pPr>
                    <w:tabs>
                      <w:tab w:val="left" w:pos="0"/>
                    </w:tabs>
                    <w:adjustRightInd w:val="0"/>
                    <w:snapToGrid w:val="0"/>
                    <w:jc w:val="center"/>
                    <w:textAlignment w:val="baseline"/>
                    <w:rPr>
                      <w:color w:val="000000"/>
                      <w:spacing w:val="4"/>
                    </w:rPr>
                  </w:pPr>
                  <w:r>
                    <w:rPr>
                      <w:color w:val="000000"/>
                      <w:spacing w:val="4"/>
                      <w:szCs w:val="21"/>
                    </w:rPr>
                    <w:t>固态</w:t>
                  </w:r>
                </w:p>
              </w:tc>
              <w:tc>
                <w:tcPr>
                  <w:tcW w:w="501" w:type="pct"/>
                  <w:vAlign w:val="center"/>
                </w:tcPr>
                <w:p>
                  <w:pPr>
                    <w:tabs>
                      <w:tab w:val="left" w:pos="0"/>
                    </w:tabs>
                    <w:adjustRightInd w:val="0"/>
                    <w:snapToGrid w:val="0"/>
                    <w:jc w:val="center"/>
                    <w:textAlignment w:val="baseline"/>
                    <w:rPr>
                      <w:color w:val="000000"/>
                      <w:spacing w:val="4"/>
                    </w:rPr>
                  </w:pPr>
                  <w:r>
                    <w:rPr>
                      <w:color w:val="000000"/>
                      <w:spacing w:val="4"/>
                    </w:rPr>
                    <w:t>果皮、纸屑等</w:t>
                  </w:r>
                </w:p>
              </w:tc>
              <w:tc>
                <w:tcPr>
                  <w:tcW w:w="720" w:type="pct"/>
                  <w:vMerge w:val="restart"/>
                  <w:vAlign w:val="center"/>
                </w:tcPr>
                <w:p>
                  <w:pPr>
                    <w:tabs>
                      <w:tab w:val="left" w:pos="0"/>
                    </w:tabs>
                    <w:adjustRightInd w:val="0"/>
                    <w:snapToGrid w:val="0"/>
                    <w:jc w:val="center"/>
                    <w:textAlignment w:val="baseline"/>
                    <w:rPr>
                      <w:snapToGrid w:val="0"/>
                      <w:color w:val="000000"/>
                      <w:spacing w:val="4"/>
                      <w:szCs w:val="21"/>
                    </w:rPr>
                  </w:pPr>
                  <w:r>
                    <w:rPr>
                      <w:snapToGrid w:val="0"/>
                      <w:color w:val="000000"/>
                      <w:spacing w:val="4"/>
                      <w:szCs w:val="21"/>
                    </w:rPr>
                    <w:t>《一般固体废物分类与代码》GB/T 39198-2020</w:t>
                  </w:r>
                </w:p>
              </w:tc>
              <w:tc>
                <w:tcPr>
                  <w:tcW w:w="41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w:t>
                  </w:r>
                </w:p>
              </w:tc>
              <w:tc>
                <w:tcPr>
                  <w:tcW w:w="773" w:type="pct"/>
                  <w:vAlign w:val="center"/>
                </w:tcPr>
                <w:p>
                  <w:pPr>
                    <w:tabs>
                      <w:tab w:val="left" w:pos="0"/>
                    </w:tabs>
                    <w:adjustRightInd w:val="0"/>
                    <w:snapToGrid w:val="0"/>
                    <w:jc w:val="center"/>
                    <w:textAlignment w:val="baseline"/>
                    <w:rPr>
                      <w:color w:val="000000"/>
                      <w:spacing w:val="4"/>
                      <w:szCs w:val="22"/>
                    </w:rPr>
                  </w:pPr>
                  <w:r>
                    <w:rPr>
                      <w:color w:val="000000"/>
                      <w:spacing w:val="4"/>
                      <w:szCs w:val="21"/>
                    </w:rPr>
                    <w:t>900-999-99</w:t>
                  </w:r>
                </w:p>
              </w:tc>
              <w:tc>
                <w:tcPr>
                  <w:tcW w:w="499" w:type="pct"/>
                  <w:vAlign w:val="center"/>
                </w:tcPr>
                <w:p>
                  <w:pPr>
                    <w:tabs>
                      <w:tab w:val="left" w:pos="0"/>
                    </w:tabs>
                    <w:adjustRightInd w:val="0"/>
                    <w:snapToGrid w:val="0"/>
                    <w:jc w:val="center"/>
                    <w:textAlignment w:val="baseline"/>
                    <w:rPr>
                      <w:color w:val="000000"/>
                      <w:spacing w:val="4"/>
                    </w:rPr>
                  </w:pPr>
                  <w:r>
                    <w:rPr>
                      <w:rFonts w:hint="eastAsia"/>
                      <w:color w:val="000000"/>
                      <w:spacing w:val="4"/>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613" w:hRule="atLeast"/>
                <w:jc w:val="center"/>
              </w:trPr>
              <w:tc>
                <w:tcPr>
                  <w:tcW w:w="226"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2</w:t>
                  </w:r>
                </w:p>
              </w:tc>
              <w:tc>
                <w:tcPr>
                  <w:tcW w:w="568" w:type="pct"/>
                  <w:vAlign w:val="center"/>
                </w:tcPr>
                <w:p>
                  <w:pPr>
                    <w:tabs>
                      <w:tab w:val="left" w:pos="0"/>
                    </w:tabs>
                    <w:adjustRightInd w:val="0"/>
                    <w:snapToGrid w:val="0"/>
                    <w:jc w:val="center"/>
                    <w:textAlignment w:val="baseline"/>
                    <w:rPr>
                      <w:color w:val="000000"/>
                      <w:spacing w:val="4"/>
                    </w:rPr>
                  </w:pPr>
                  <w:r>
                    <w:rPr>
                      <w:color w:val="000000"/>
                      <w:spacing w:val="4"/>
                    </w:rPr>
                    <w:t>一般废包装</w:t>
                  </w:r>
                </w:p>
              </w:tc>
              <w:tc>
                <w:tcPr>
                  <w:tcW w:w="383"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一般固废</w:t>
                  </w:r>
                </w:p>
              </w:tc>
              <w:tc>
                <w:tcPr>
                  <w:tcW w:w="583" w:type="pct"/>
                  <w:vAlign w:val="center"/>
                </w:tcPr>
                <w:p>
                  <w:pPr>
                    <w:tabs>
                      <w:tab w:val="left" w:pos="0"/>
                    </w:tabs>
                    <w:adjustRightInd w:val="0"/>
                    <w:snapToGrid w:val="0"/>
                    <w:jc w:val="center"/>
                    <w:textAlignment w:val="baseline"/>
                    <w:rPr>
                      <w:color w:val="000000"/>
                      <w:spacing w:val="4"/>
                    </w:rPr>
                  </w:pPr>
                  <w:r>
                    <w:rPr>
                      <w:color w:val="000000"/>
                      <w:spacing w:val="4"/>
                      <w:szCs w:val="22"/>
                    </w:rPr>
                    <w:t>原料使用</w:t>
                  </w:r>
                </w:p>
              </w:tc>
              <w:tc>
                <w:tcPr>
                  <w:tcW w:w="326"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固态</w:t>
                  </w:r>
                </w:p>
              </w:tc>
              <w:tc>
                <w:tcPr>
                  <w:tcW w:w="501"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塑料、纸箱</w:t>
                  </w:r>
                </w:p>
              </w:tc>
              <w:tc>
                <w:tcPr>
                  <w:tcW w:w="720" w:type="pct"/>
                  <w:vMerge w:val="continue"/>
                  <w:vAlign w:val="center"/>
                </w:tcPr>
                <w:p>
                  <w:pPr>
                    <w:tabs>
                      <w:tab w:val="left" w:pos="0"/>
                    </w:tabs>
                    <w:adjustRightInd w:val="0"/>
                    <w:snapToGrid w:val="0"/>
                    <w:jc w:val="center"/>
                    <w:textAlignment w:val="baseline"/>
                    <w:rPr>
                      <w:snapToGrid w:val="0"/>
                      <w:color w:val="000000"/>
                      <w:spacing w:val="4"/>
                      <w:szCs w:val="21"/>
                    </w:rPr>
                  </w:pPr>
                </w:p>
              </w:tc>
              <w:tc>
                <w:tcPr>
                  <w:tcW w:w="41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w:t>
                  </w:r>
                </w:p>
              </w:tc>
              <w:tc>
                <w:tcPr>
                  <w:tcW w:w="773" w:type="pct"/>
                  <w:vAlign w:val="center"/>
                </w:tcPr>
                <w:p>
                  <w:pPr>
                    <w:tabs>
                      <w:tab w:val="left" w:pos="0"/>
                    </w:tabs>
                    <w:adjustRightInd w:val="0"/>
                    <w:snapToGrid w:val="0"/>
                    <w:jc w:val="center"/>
                    <w:textAlignment w:val="baseline"/>
                    <w:rPr>
                      <w:color w:val="000000"/>
                      <w:spacing w:val="4"/>
                      <w:szCs w:val="22"/>
                    </w:rPr>
                  </w:pPr>
                  <w:r>
                    <w:rPr>
                      <w:color w:val="000000"/>
                      <w:spacing w:val="4"/>
                      <w:szCs w:val="21"/>
                    </w:rPr>
                    <w:t>900-999-99</w:t>
                  </w:r>
                </w:p>
              </w:tc>
              <w:tc>
                <w:tcPr>
                  <w:tcW w:w="499" w:type="pct"/>
                  <w:vAlign w:val="center"/>
                </w:tcPr>
                <w:p>
                  <w:pPr>
                    <w:tabs>
                      <w:tab w:val="left" w:pos="0"/>
                    </w:tabs>
                    <w:adjustRightInd w:val="0"/>
                    <w:snapToGrid w:val="0"/>
                    <w:jc w:val="center"/>
                    <w:textAlignment w:val="baseline"/>
                    <w:rPr>
                      <w:color w:val="000000"/>
                      <w:spacing w:val="4"/>
                    </w:rPr>
                  </w:pPr>
                  <w:r>
                    <w:rPr>
                      <w:color w:val="000000"/>
                      <w:spacing w:val="4"/>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551" w:hRule="atLeast"/>
                <w:jc w:val="center"/>
              </w:trPr>
              <w:tc>
                <w:tcPr>
                  <w:tcW w:w="226"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3</w:t>
                  </w:r>
                </w:p>
              </w:tc>
              <w:tc>
                <w:tcPr>
                  <w:tcW w:w="568" w:type="pct"/>
                  <w:vAlign w:val="center"/>
                </w:tcPr>
                <w:p>
                  <w:pPr>
                    <w:pStyle w:val="61"/>
                    <w:rPr>
                      <w:color w:val="000000"/>
                      <w:szCs w:val="21"/>
                    </w:rPr>
                  </w:pPr>
                  <w:r>
                    <w:rPr>
                      <w:rFonts w:hint="eastAsia"/>
                      <w:color w:val="000000"/>
                      <w:szCs w:val="21"/>
                    </w:rPr>
                    <w:t>废锡膏</w:t>
                  </w:r>
                </w:p>
              </w:tc>
              <w:tc>
                <w:tcPr>
                  <w:tcW w:w="383"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一般固废</w:t>
                  </w:r>
                </w:p>
              </w:tc>
              <w:tc>
                <w:tcPr>
                  <w:tcW w:w="583" w:type="pct"/>
                  <w:vAlign w:val="center"/>
                </w:tcPr>
                <w:p>
                  <w:pPr>
                    <w:pStyle w:val="61"/>
                    <w:rPr>
                      <w:color w:val="000000"/>
                      <w:szCs w:val="21"/>
                    </w:rPr>
                  </w:pPr>
                  <w:r>
                    <w:rPr>
                      <w:rFonts w:hint="eastAsia"/>
                      <w:color w:val="000000"/>
                      <w:szCs w:val="21"/>
                    </w:rPr>
                    <w:t>印刷</w:t>
                  </w:r>
                </w:p>
              </w:tc>
              <w:tc>
                <w:tcPr>
                  <w:tcW w:w="326" w:type="pct"/>
                  <w:vAlign w:val="center"/>
                </w:tcPr>
                <w:p>
                  <w:pPr>
                    <w:tabs>
                      <w:tab w:val="left" w:pos="0"/>
                    </w:tabs>
                    <w:adjustRightInd w:val="0"/>
                    <w:snapToGrid w:val="0"/>
                    <w:jc w:val="center"/>
                    <w:textAlignment w:val="baseline"/>
                    <w:rPr>
                      <w:color w:val="000000"/>
                      <w:spacing w:val="4"/>
                      <w:szCs w:val="22"/>
                    </w:rPr>
                  </w:pPr>
                  <w:r>
                    <w:rPr>
                      <w:rFonts w:hint="eastAsia"/>
                      <w:color w:val="000000"/>
                      <w:spacing w:val="4"/>
                      <w:szCs w:val="22"/>
                    </w:rPr>
                    <w:t>固态</w:t>
                  </w:r>
                </w:p>
              </w:tc>
              <w:tc>
                <w:tcPr>
                  <w:tcW w:w="501" w:type="pct"/>
                  <w:vAlign w:val="center"/>
                </w:tcPr>
                <w:p>
                  <w:pPr>
                    <w:pStyle w:val="61"/>
                    <w:rPr>
                      <w:color w:val="000000"/>
                      <w:szCs w:val="21"/>
                    </w:rPr>
                  </w:pPr>
                  <w:r>
                    <w:rPr>
                      <w:rFonts w:hint="eastAsia"/>
                      <w:color w:val="000000"/>
                      <w:szCs w:val="21"/>
                    </w:rPr>
                    <w:t>锡膏</w:t>
                  </w:r>
                </w:p>
              </w:tc>
              <w:tc>
                <w:tcPr>
                  <w:tcW w:w="720" w:type="pct"/>
                  <w:vMerge w:val="continue"/>
                  <w:vAlign w:val="center"/>
                </w:tcPr>
                <w:p>
                  <w:pPr>
                    <w:tabs>
                      <w:tab w:val="left" w:pos="0"/>
                    </w:tabs>
                    <w:adjustRightInd w:val="0"/>
                    <w:snapToGrid w:val="0"/>
                    <w:jc w:val="center"/>
                    <w:textAlignment w:val="baseline"/>
                    <w:rPr>
                      <w:snapToGrid w:val="0"/>
                      <w:color w:val="000000"/>
                      <w:spacing w:val="4"/>
                      <w:szCs w:val="21"/>
                    </w:rPr>
                  </w:pPr>
                </w:p>
              </w:tc>
              <w:tc>
                <w:tcPr>
                  <w:tcW w:w="41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w:t>
                  </w:r>
                </w:p>
              </w:tc>
              <w:tc>
                <w:tcPr>
                  <w:tcW w:w="773" w:type="pct"/>
                  <w:vAlign w:val="center"/>
                </w:tcPr>
                <w:p>
                  <w:pPr>
                    <w:tabs>
                      <w:tab w:val="left" w:pos="0"/>
                    </w:tabs>
                    <w:adjustRightInd w:val="0"/>
                    <w:snapToGrid w:val="0"/>
                    <w:jc w:val="center"/>
                    <w:textAlignment w:val="baseline"/>
                    <w:rPr>
                      <w:color w:val="000000"/>
                      <w:spacing w:val="4"/>
                      <w:szCs w:val="21"/>
                    </w:rPr>
                  </w:pPr>
                  <w:r>
                    <w:rPr>
                      <w:color w:val="000000"/>
                      <w:kern w:val="0"/>
                      <w:szCs w:val="21"/>
                    </w:rPr>
                    <w:t>397-001-49</w:t>
                  </w:r>
                </w:p>
              </w:tc>
              <w:tc>
                <w:tcPr>
                  <w:tcW w:w="499" w:type="pct"/>
                  <w:vAlign w:val="center"/>
                </w:tcPr>
                <w:p>
                  <w:pPr>
                    <w:tabs>
                      <w:tab w:val="left" w:pos="0"/>
                    </w:tabs>
                    <w:adjustRightInd w:val="0"/>
                    <w:snapToGrid w:val="0"/>
                    <w:jc w:val="center"/>
                    <w:textAlignment w:val="baseline"/>
                    <w:rPr>
                      <w:color w:val="000000"/>
                      <w:spacing w:val="4"/>
                    </w:rPr>
                  </w:pPr>
                  <w:r>
                    <w:rPr>
                      <w:rFonts w:hint="eastAsia"/>
                      <w:color w:val="000000"/>
                      <w:spacing w:val="4"/>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629" w:hRule="atLeast"/>
                <w:jc w:val="center"/>
              </w:trPr>
              <w:tc>
                <w:tcPr>
                  <w:tcW w:w="226" w:type="pct"/>
                  <w:vAlign w:val="center"/>
                </w:tcPr>
                <w:p>
                  <w:pPr>
                    <w:tabs>
                      <w:tab w:val="left" w:pos="0"/>
                    </w:tabs>
                    <w:adjustRightInd w:val="0"/>
                    <w:snapToGrid w:val="0"/>
                    <w:jc w:val="center"/>
                    <w:textAlignment w:val="baseline"/>
                    <w:rPr>
                      <w:color w:val="000000"/>
                      <w:spacing w:val="4"/>
                      <w:szCs w:val="21"/>
                    </w:rPr>
                  </w:pPr>
                  <w:r>
                    <w:rPr>
                      <w:rFonts w:hint="eastAsia"/>
                      <w:color w:val="000000"/>
                      <w:spacing w:val="4"/>
                      <w:szCs w:val="21"/>
                    </w:rPr>
                    <w:t>4</w:t>
                  </w:r>
                </w:p>
              </w:tc>
              <w:tc>
                <w:tcPr>
                  <w:tcW w:w="568" w:type="pct"/>
                  <w:vAlign w:val="center"/>
                </w:tcPr>
                <w:p>
                  <w:pPr>
                    <w:pStyle w:val="61"/>
                    <w:rPr>
                      <w:color w:val="000000"/>
                      <w:spacing w:val="4"/>
                    </w:rPr>
                  </w:pPr>
                  <w:r>
                    <w:rPr>
                      <w:rFonts w:hint="eastAsia"/>
                      <w:color w:val="000000"/>
                      <w:szCs w:val="21"/>
                    </w:rPr>
                    <w:t>清洗废液</w:t>
                  </w:r>
                </w:p>
              </w:tc>
              <w:tc>
                <w:tcPr>
                  <w:tcW w:w="383" w:type="pct"/>
                  <w:vAlign w:val="center"/>
                </w:tcPr>
                <w:p>
                  <w:pPr>
                    <w:tabs>
                      <w:tab w:val="left" w:pos="0"/>
                    </w:tabs>
                    <w:adjustRightInd w:val="0"/>
                    <w:snapToGrid w:val="0"/>
                    <w:jc w:val="center"/>
                    <w:textAlignment w:val="baseline"/>
                    <w:rPr>
                      <w:color w:val="000000"/>
                      <w:spacing w:val="4"/>
                      <w:szCs w:val="21"/>
                    </w:rPr>
                  </w:pPr>
                  <w:r>
                    <w:rPr>
                      <w:rFonts w:hint="eastAsia"/>
                      <w:color w:val="000000"/>
                      <w:spacing w:val="4"/>
                      <w:szCs w:val="21"/>
                    </w:rPr>
                    <w:t>危险固废</w:t>
                  </w:r>
                </w:p>
              </w:tc>
              <w:tc>
                <w:tcPr>
                  <w:tcW w:w="583" w:type="pct"/>
                  <w:vAlign w:val="center"/>
                </w:tcPr>
                <w:p>
                  <w:pPr>
                    <w:pStyle w:val="61"/>
                    <w:rPr>
                      <w:color w:val="000000"/>
                      <w:spacing w:val="4"/>
                    </w:rPr>
                  </w:pPr>
                  <w:r>
                    <w:rPr>
                      <w:rFonts w:hint="eastAsia"/>
                      <w:color w:val="000000"/>
                      <w:szCs w:val="21"/>
                      <w:lang w:eastAsia="zh-CN"/>
                    </w:rPr>
                    <w:t>网版</w:t>
                  </w:r>
                  <w:r>
                    <w:rPr>
                      <w:rFonts w:hint="eastAsia"/>
                      <w:color w:val="000000"/>
                      <w:szCs w:val="21"/>
                    </w:rPr>
                    <w:t>印刷</w:t>
                  </w:r>
                </w:p>
              </w:tc>
              <w:tc>
                <w:tcPr>
                  <w:tcW w:w="326" w:type="pct"/>
                  <w:vAlign w:val="center"/>
                </w:tcPr>
                <w:p>
                  <w:pPr>
                    <w:tabs>
                      <w:tab w:val="left" w:pos="0"/>
                    </w:tabs>
                    <w:adjustRightInd w:val="0"/>
                    <w:snapToGrid w:val="0"/>
                    <w:jc w:val="center"/>
                    <w:textAlignment w:val="baseline"/>
                    <w:rPr>
                      <w:color w:val="000000"/>
                      <w:spacing w:val="4"/>
                    </w:rPr>
                  </w:pPr>
                  <w:r>
                    <w:rPr>
                      <w:rFonts w:hint="eastAsia"/>
                      <w:color w:val="000000"/>
                      <w:spacing w:val="4"/>
                      <w:szCs w:val="22"/>
                    </w:rPr>
                    <w:t>液</w:t>
                  </w:r>
                  <w:r>
                    <w:rPr>
                      <w:color w:val="000000"/>
                      <w:spacing w:val="4"/>
                      <w:szCs w:val="22"/>
                    </w:rPr>
                    <w:t>态</w:t>
                  </w:r>
                </w:p>
              </w:tc>
              <w:tc>
                <w:tcPr>
                  <w:tcW w:w="501" w:type="pct"/>
                  <w:vAlign w:val="center"/>
                </w:tcPr>
                <w:p>
                  <w:pPr>
                    <w:pStyle w:val="61"/>
                    <w:rPr>
                      <w:color w:val="000000"/>
                      <w:spacing w:val="4"/>
                    </w:rPr>
                  </w:pPr>
                  <w:r>
                    <w:rPr>
                      <w:rFonts w:hint="eastAsia"/>
                      <w:color w:val="000000"/>
                      <w:szCs w:val="21"/>
                      <w:lang w:eastAsia="zh-CN"/>
                    </w:rPr>
                    <w:t>网版</w:t>
                  </w:r>
                  <w:r>
                    <w:rPr>
                      <w:rFonts w:hint="eastAsia"/>
                      <w:color w:val="000000"/>
                      <w:szCs w:val="21"/>
                    </w:rPr>
                    <w:t>清洗剂</w:t>
                  </w:r>
                </w:p>
              </w:tc>
              <w:tc>
                <w:tcPr>
                  <w:tcW w:w="720" w:type="pct"/>
                  <w:vMerge w:val="restart"/>
                  <w:vAlign w:val="center"/>
                </w:tcPr>
                <w:p>
                  <w:pPr>
                    <w:tabs>
                      <w:tab w:val="left" w:pos="0"/>
                    </w:tabs>
                    <w:adjustRightInd w:val="0"/>
                    <w:snapToGrid w:val="0"/>
                    <w:jc w:val="center"/>
                    <w:textAlignment w:val="baseline"/>
                    <w:rPr>
                      <w:snapToGrid w:val="0"/>
                      <w:color w:val="000000"/>
                      <w:spacing w:val="4"/>
                      <w:szCs w:val="21"/>
                    </w:rPr>
                  </w:pPr>
                  <w:r>
                    <w:rPr>
                      <w:snapToGrid w:val="0"/>
                      <w:color w:val="000000"/>
                      <w:spacing w:val="4"/>
                      <w:szCs w:val="21"/>
                    </w:rPr>
                    <w:t>《国家危险废物名录》（2021年）</w:t>
                  </w:r>
                </w:p>
              </w:tc>
              <w:tc>
                <w:tcPr>
                  <w:tcW w:w="41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T/I</w:t>
                  </w:r>
                  <w:r>
                    <w:rPr>
                      <w:rFonts w:hint="eastAsia"/>
                      <w:color w:val="000000"/>
                      <w:spacing w:val="4"/>
                      <w:szCs w:val="22"/>
                    </w:rPr>
                    <w:t>/R</w:t>
                  </w:r>
                </w:p>
              </w:tc>
              <w:tc>
                <w:tcPr>
                  <w:tcW w:w="773" w:type="pct"/>
                  <w:vAlign w:val="center"/>
                </w:tcPr>
                <w:p>
                  <w:pPr>
                    <w:widowControl/>
                    <w:jc w:val="center"/>
                    <w:rPr>
                      <w:color w:val="000000"/>
                      <w:kern w:val="0"/>
                      <w:szCs w:val="21"/>
                    </w:rPr>
                  </w:pPr>
                  <w:r>
                    <w:rPr>
                      <w:color w:val="000000"/>
                      <w:kern w:val="0"/>
                      <w:szCs w:val="21"/>
                    </w:rPr>
                    <w:t>HW</w:t>
                  </w:r>
                  <w:r>
                    <w:rPr>
                      <w:rFonts w:hint="eastAsia"/>
                      <w:color w:val="000000"/>
                      <w:kern w:val="0"/>
                      <w:szCs w:val="21"/>
                    </w:rPr>
                    <w:t>06</w:t>
                  </w:r>
                </w:p>
                <w:p>
                  <w:pPr>
                    <w:widowControl/>
                    <w:jc w:val="center"/>
                    <w:rPr>
                      <w:color w:val="000000"/>
                      <w:kern w:val="0"/>
                      <w:szCs w:val="21"/>
                    </w:rPr>
                  </w:pPr>
                  <w:r>
                    <w:rPr>
                      <w:color w:val="000000"/>
                      <w:kern w:val="0"/>
                      <w:szCs w:val="21"/>
                    </w:rPr>
                    <w:t>900-</w:t>
                  </w:r>
                  <w:r>
                    <w:rPr>
                      <w:rFonts w:hint="eastAsia"/>
                      <w:color w:val="000000"/>
                      <w:kern w:val="0"/>
                      <w:szCs w:val="21"/>
                    </w:rPr>
                    <w:t>404</w:t>
                  </w:r>
                  <w:r>
                    <w:rPr>
                      <w:color w:val="000000"/>
                      <w:kern w:val="0"/>
                      <w:szCs w:val="21"/>
                    </w:rPr>
                    <w:t>-</w:t>
                  </w:r>
                  <w:r>
                    <w:rPr>
                      <w:rFonts w:hint="eastAsia"/>
                      <w:color w:val="000000"/>
                      <w:kern w:val="0"/>
                      <w:szCs w:val="21"/>
                    </w:rPr>
                    <w:t>06</w:t>
                  </w:r>
                </w:p>
              </w:tc>
              <w:tc>
                <w:tcPr>
                  <w:tcW w:w="499" w:type="pct"/>
                  <w:vAlign w:val="center"/>
                </w:tcPr>
                <w:p>
                  <w:pPr>
                    <w:tabs>
                      <w:tab w:val="left" w:pos="0"/>
                    </w:tabs>
                    <w:adjustRightInd w:val="0"/>
                    <w:snapToGrid w:val="0"/>
                    <w:jc w:val="center"/>
                    <w:textAlignment w:val="baseline"/>
                    <w:rPr>
                      <w:color w:val="000000"/>
                      <w:spacing w:val="4"/>
                    </w:rPr>
                  </w:pPr>
                  <w:r>
                    <w:rPr>
                      <w:rFonts w:hint="eastAsia"/>
                      <w:color w:val="000000"/>
                      <w:spacing w:val="4"/>
                    </w:rPr>
                    <w:t>0.172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700" w:hRule="atLeast"/>
                <w:jc w:val="center"/>
              </w:trPr>
              <w:tc>
                <w:tcPr>
                  <w:tcW w:w="226"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5</w:t>
                  </w:r>
                </w:p>
              </w:tc>
              <w:tc>
                <w:tcPr>
                  <w:tcW w:w="568" w:type="pct"/>
                  <w:vAlign w:val="center"/>
                </w:tcPr>
                <w:p>
                  <w:pPr>
                    <w:pStyle w:val="61"/>
                    <w:rPr>
                      <w:color w:val="000000"/>
                      <w:spacing w:val="4"/>
                    </w:rPr>
                  </w:pPr>
                  <w:r>
                    <w:rPr>
                      <w:color w:val="000000"/>
                      <w:szCs w:val="21"/>
                    </w:rPr>
                    <w:t>废擦拭纸</w:t>
                  </w:r>
                </w:p>
              </w:tc>
              <w:tc>
                <w:tcPr>
                  <w:tcW w:w="383"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危险废物</w:t>
                  </w:r>
                </w:p>
              </w:tc>
              <w:tc>
                <w:tcPr>
                  <w:tcW w:w="583" w:type="pct"/>
                  <w:vAlign w:val="center"/>
                </w:tcPr>
                <w:p>
                  <w:pPr>
                    <w:pStyle w:val="61"/>
                    <w:rPr>
                      <w:color w:val="000000"/>
                      <w:spacing w:val="4"/>
                    </w:rPr>
                  </w:pPr>
                  <w:r>
                    <w:rPr>
                      <w:rFonts w:hint="eastAsia"/>
                      <w:color w:val="000000"/>
                      <w:szCs w:val="21"/>
                    </w:rPr>
                    <w:t>清除涂覆</w:t>
                  </w:r>
                </w:p>
              </w:tc>
              <w:tc>
                <w:tcPr>
                  <w:tcW w:w="326" w:type="pct"/>
                  <w:vAlign w:val="center"/>
                </w:tcPr>
                <w:p>
                  <w:pPr>
                    <w:tabs>
                      <w:tab w:val="left" w:pos="0"/>
                    </w:tabs>
                    <w:adjustRightInd w:val="0"/>
                    <w:snapToGrid w:val="0"/>
                    <w:jc w:val="center"/>
                    <w:textAlignment w:val="baseline"/>
                    <w:rPr>
                      <w:color w:val="000000"/>
                      <w:spacing w:val="4"/>
                    </w:rPr>
                  </w:pPr>
                  <w:r>
                    <w:rPr>
                      <w:color w:val="000000"/>
                      <w:spacing w:val="4"/>
                      <w:szCs w:val="22"/>
                    </w:rPr>
                    <w:t>固态</w:t>
                  </w:r>
                </w:p>
              </w:tc>
              <w:tc>
                <w:tcPr>
                  <w:tcW w:w="501" w:type="pct"/>
                  <w:vAlign w:val="center"/>
                </w:tcPr>
                <w:p>
                  <w:pPr>
                    <w:pStyle w:val="61"/>
                    <w:rPr>
                      <w:color w:val="000000"/>
                      <w:spacing w:val="4"/>
                    </w:rPr>
                  </w:pPr>
                  <w:r>
                    <w:rPr>
                      <w:color w:val="000000"/>
                      <w:szCs w:val="21"/>
                    </w:rPr>
                    <w:t>废擦拭纸、</w:t>
                  </w:r>
                  <w:r>
                    <w:rPr>
                      <w:rFonts w:hint="eastAsia"/>
                      <w:color w:val="000000"/>
                      <w:szCs w:val="21"/>
                    </w:rPr>
                    <w:t>清洗剂</w:t>
                  </w:r>
                </w:p>
              </w:tc>
              <w:tc>
                <w:tcPr>
                  <w:tcW w:w="720" w:type="pct"/>
                  <w:vMerge w:val="continue"/>
                  <w:vAlign w:val="center"/>
                </w:tcPr>
                <w:p>
                  <w:pPr>
                    <w:tabs>
                      <w:tab w:val="left" w:pos="0"/>
                    </w:tabs>
                    <w:adjustRightInd w:val="0"/>
                    <w:snapToGrid w:val="0"/>
                    <w:jc w:val="center"/>
                    <w:textAlignment w:val="baseline"/>
                    <w:rPr>
                      <w:snapToGrid w:val="0"/>
                      <w:color w:val="000000"/>
                      <w:spacing w:val="4"/>
                      <w:szCs w:val="21"/>
                    </w:rPr>
                  </w:pPr>
                </w:p>
              </w:tc>
              <w:tc>
                <w:tcPr>
                  <w:tcW w:w="41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T/In</w:t>
                  </w:r>
                </w:p>
              </w:tc>
              <w:tc>
                <w:tcPr>
                  <w:tcW w:w="773" w:type="pct"/>
                  <w:vAlign w:val="center"/>
                </w:tcPr>
                <w:p>
                  <w:pPr>
                    <w:widowControl/>
                    <w:jc w:val="center"/>
                    <w:rPr>
                      <w:color w:val="000000"/>
                      <w:kern w:val="0"/>
                      <w:szCs w:val="21"/>
                    </w:rPr>
                  </w:pPr>
                  <w:r>
                    <w:rPr>
                      <w:color w:val="000000"/>
                      <w:kern w:val="0"/>
                      <w:szCs w:val="21"/>
                    </w:rPr>
                    <w:t>HW49</w:t>
                  </w:r>
                </w:p>
                <w:p>
                  <w:pPr>
                    <w:widowControl/>
                    <w:jc w:val="center"/>
                    <w:rPr>
                      <w:color w:val="000000"/>
                      <w:kern w:val="0"/>
                      <w:szCs w:val="21"/>
                    </w:rPr>
                  </w:pPr>
                  <w:r>
                    <w:rPr>
                      <w:color w:val="000000"/>
                      <w:kern w:val="0"/>
                      <w:szCs w:val="21"/>
                    </w:rPr>
                    <w:t>900-041-49</w:t>
                  </w:r>
                </w:p>
              </w:tc>
              <w:tc>
                <w:tcPr>
                  <w:tcW w:w="499" w:type="pct"/>
                  <w:vAlign w:val="center"/>
                </w:tcPr>
                <w:p>
                  <w:pPr>
                    <w:tabs>
                      <w:tab w:val="left" w:pos="0"/>
                    </w:tabs>
                    <w:adjustRightInd w:val="0"/>
                    <w:snapToGrid w:val="0"/>
                    <w:jc w:val="center"/>
                    <w:textAlignment w:val="baseline"/>
                    <w:rPr>
                      <w:rFonts w:hint="eastAsia" w:eastAsia="宋体"/>
                      <w:color w:val="000000"/>
                      <w:spacing w:val="4"/>
                      <w:lang w:val="en-US" w:eastAsia="zh-CN"/>
                    </w:rPr>
                  </w:pPr>
                  <w:r>
                    <w:rPr>
                      <w:rFonts w:hint="eastAsia"/>
                      <w:color w:val="000000"/>
                      <w:spacing w:val="4"/>
                    </w:rPr>
                    <w:t>0.</w:t>
                  </w:r>
                  <w:r>
                    <w:rPr>
                      <w:rFonts w:hint="eastAsia"/>
                      <w:color w:val="000000"/>
                      <w:spacing w:val="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646" w:hRule="atLeast"/>
                <w:jc w:val="center"/>
              </w:trPr>
              <w:tc>
                <w:tcPr>
                  <w:tcW w:w="226" w:type="pct"/>
                  <w:vAlign w:val="center"/>
                </w:tcPr>
                <w:p>
                  <w:pPr>
                    <w:tabs>
                      <w:tab w:val="left" w:pos="0"/>
                    </w:tabs>
                    <w:adjustRightInd w:val="0"/>
                    <w:snapToGrid w:val="0"/>
                    <w:jc w:val="center"/>
                    <w:textAlignment w:val="baseline"/>
                    <w:rPr>
                      <w:color w:val="000000"/>
                      <w:spacing w:val="4"/>
                      <w:szCs w:val="21"/>
                    </w:rPr>
                  </w:pPr>
                  <w:r>
                    <w:rPr>
                      <w:rFonts w:hint="eastAsia"/>
                      <w:color w:val="000000"/>
                      <w:spacing w:val="4"/>
                      <w:szCs w:val="21"/>
                    </w:rPr>
                    <w:t>6</w:t>
                  </w:r>
                </w:p>
              </w:tc>
              <w:tc>
                <w:tcPr>
                  <w:tcW w:w="568" w:type="pct"/>
                  <w:vAlign w:val="center"/>
                </w:tcPr>
                <w:p>
                  <w:pPr>
                    <w:pStyle w:val="61"/>
                    <w:rPr>
                      <w:color w:val="000000"/>
                      <w:szCs w:val="21"/>
                    </w:rPr>
                  </w:pPr>
                  <w:r>
                    <w:rPr>
                      <w:rFonts w:hint="eastAsia"/>
                      <w:color w:val="000000"/>
                      <w:szCs w:val="21"/>
                    </w:rPr>
                    <w:t>废包装桶</w:t>
                  </w:r>
                </w:p>
              </w:tc>
              <w:tc>
                <w:tcPr>
                  <w:tcW w:w="383" w:type="pct"/>
                  <w:vAlign w:val="center"/>
                </w:tcPr>
                <w:p>
                  <w:pPr>
                    <w:adjustRightInd w:val="0"/>
                    <w:snapToGrid w:val="0"/>
                    <w:jc w:val="center"/>
                    <w:textAlignment w:val="baseline"/>
                    <w:rPr>
                      <w:color w:val="000000"/>
                      <w:spacing w:val="4"/>
                      <w:szCs w:val="21"/>
                    </w:rPr>
                  </w:pPr>
                  <w:r>
                    <w:rPr>
                      <w:color w:val="000000"/>
                      <w:spacing w:val="4"/>
                      <w:szCs w:val="21"/>
                    </w:rPr>
                    <w:t>危险废物</w:t>
                  </w:r>
                </w:p>
              </w:tc>
              <w:tc>
                <w:tcPr>
                  <w:tcW w:w="583" w:type="pct"/>
                  <w:vAlign w:val="center"/>
                </w:tcPr>
                <w:p>
                  <w:pPr>
                    <w:pStyle w:val="61"/>
                    <w:rPr>
                      <w:color w:val="000000"/>
                      <w:szCs w:val="21"/>
                    </w:rPr>
                  </w:pPr>
                  <w:r>
                    <w:rPr>
                      <w:rFonts w:hint="eastAsia"/>
                      <w:color w:val="000000"/>
                      <w:szCs w:val="21"/>
                    </w:rPr>
                    <w:t>化学品原辅料包装</w:t>
                  </w:r>
                </w:p>
              </w:tc>
              <w:tc>
                <w:tcPr>
                  <w:tcW w:w="326"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固态</w:t>
                  </w:r>
                </w:p>
              </w:tc>
              <w:tc>
                <w:tcPr>
                  <w:tcW w:w="501" w:type="pct"/>
                  <w:vAlign w:val="center"/>
                </w:tcPr>
                <w:p>
                  <w:pPr>
                    <w:pStyle w:val="61"/>
                    <w:rPr>
                      <w:color w:val="000000"/>
                      <w:szCs w:val="21"/>
                    </w:rPr>
                  </w:pPr>
                  <w:r>
                    <w:rPr>
                      <w:rFonts w:hint="eastAsia"/>
                      <w:color w:val="000000"/>
                      <w:szCs w:val="21"/>
                    </w:rPr>
                    <w:t>包装桶、袋</w:t>
                  </w:r>
                </w:p>
              </w:tc>
              <w:tc>
                <w:tcPr>
                  <w:tcW w:w="720" w:type="pct"/>
                  <w:vMerge w:val="continue"/>
                  <w:vAlign w:val="center"/>
                </w:tcPr>
                <w:p>
                  <w:pPr>
                    <w:tabs>
                      <w:tab w:val="left" w:pos="0"/>
                    </w:tabs>
                    <w:adjustRightInd w:val="0"/>
                    <w:snapToGrid w:val="0"/>
                    <w:jc w:val="center"/>
                    <w:textAlignment w:val="baseline"/>
                    <w:rPr>
                      <w:snapToGrid w:val="0"/>
                      <w:color w:val="000000"/>
                      <w:spacing w:val="4"/>
                      <w:szCs w:val="21"/>
                    </w:rPr>
                  </w:pPr>
                </w:p>
              </w:tc>
              <w:tc>
                <w:tcPr>
                  <w:tcW w:w="41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T/In</w:t>
                  </w:r>
                </w:p>
              </w:tc>
              <w:tc>
                <w:tcPr>
                  <w:tcW w:w="773" w:type="pct"/>
                  <w:vAlign w:val="center"/>
                </w:tcPr>
                <w:p>
                  <w:pPr>
                    <w:widowControl/>
                    <w:jc w:val="center"/>
                    <w:rPr>
                      <w:color w:val="000000"/>
                      <w:kern w:val="0"/>
                      <w:szCs w:val="21"/>
                    </w:rPr>
                  </w:pPr>
                  <w:r>
                    <w:rPr>
                      <w:color w:val="000000"/>
                      <w:kern w:val="0"/>
                      <w:szCs w:val="21"/>
                    </w:rPr>
                    <w:t>HW49</w:t>
                  </w:r>
                </w:p>
                <w:p>
                  <w:pPr>
                    <w:widowControl/>
                    <w:jc w:val="center"/>
                    <w:rPr>
                      <w:color w:val="000000"/>
                      <w:kern w:val="0"/>
                      <w:szCs w:val="21"/>
                    </w:rPr>
                  </w:pPr>
                  <w:r>
                    <w:rPr>
                      <w:color w:val="000000"/>
                      <w:kern w:val="0"/>
                      <w:szCs w:val="21"/>
                    </w:rPr>
                    <w:t>900-041-49</w:t>
                  </w:r>
                </w:p>
              </w:tc>
              <w:tc>
                <w:tcPr>
                  <w:tcW w:w="499" w:type="pct"/>
                  <w:vAlign w:val="center"/>
                </w:tcPr>
                <w:p>
                  <w:pPr>
                    <w:tabs>
                      <w:tab w:val="left" w:pos="0"/>
                    </w:tabs>
                    <w:adjustRightInd w:val="0"/>
                    <w:snapToGrid w:val="0"/>
                    <w:jc w:val="center"/>
                    <w:textAlignment w:val="baseline"/>
                    <w:rPr>
                      <w:rFonts w:hint="default" w:eastAsia="宋体"/>
                      <w:color w:val="000000"/>
                      <w:spacing w:val="4"/>
                      <w:lang w:val="en-US" w:eastAsia="zh-CN"/>
                    </w:rPr>
                  </w:pPr>
                  <w:r>
                    <w:rPr>
                      <w:rFonts w:hint="eastAsia"/>
                      <w:color w:val="000000"/>
                      <w:spacing w:val="4"/>
                      <w:lang w:val="en-US" w:eastAsia="zh-CN"/>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655" w:hRule="atLeast"/>
                <w:jc w:val="center"/>
              </w:trPr>
              <w:tc>
                <w:tcPr>
                  <w:tcW w:w="226" w:type="pct"/>
                  <w:vAlign w:val="center"/>
                </w:tcPr>
                <w:p>
                  <w:pPr>
                    <w:tabs>
                      <w:tab w:val="left" w:pos="0"/>
                    </w:tabs>
                    <w:adjustRightInd w:val="0"/>
                    <w:snapToGrid w:val="0"/>
                    <w:jc w:val="center"/>
                    <w:textAlignment w:val="baseline"/>
                    <w:rPr>
                      <w:rFonts w:hint="eastAsia" w:eastAsia="宋体"/>
                      <w:color w:val="000000"/>
                      <w:spacing w:val="4"/>
                      <w:szCs w:val="21"/>
                      <w:lang w:eastAsia="zh-CN"/>
                    </w:rPr>
                  </w:pPr>
                  <w:r>
                    <w:rPr>
                      <w:rFonts w:hint="eastAsia"/>
                      <w:color w:val="000000"/>
                      <w:spacing w:val="4"/>
                      <w:szCs w:val="21"/>
                      <w:lang w:val="en-US" w:eastAsia="zh-CN"/>
                    </w:rPr>
                    <w:t>7</w:t>
                  </w:r>
                </w:p>
              </w:tc>
              <w:tc>
                <w:tcPr>
                  <w:tcW w:w="568" w:type="pct"/>
                  <w:vAlign w:val="center"/>
                </w:tcPr>
                <w:p>
                  <w:pPr>
                    <w:tabs>
                      <w:tab w:val="left" w:pos="0"/>
                    </w:tabs>
                    <w:adjustRightInd w:val="0"/>
                    <w:snapToGrid w:val="0"/>
                    <w:jc w:val="center"/>
                    <w:textAlignment w:val="baseline"/>
                    <w:rPr>
                      <w:color w:val="000000"/>
                      <w:szCs w:val="21"/>
                    </w:rPr>
                  </w:pPr>
                  <w:r>
                    <w:rPr>
                      <w:color w:val="000000"/>
                      <w:spacing w:val="4"/>
                    </w:rPr>
                    <w:t>废活性炭</w:t>
                  </w:r>
                </w:p>
              </w:tc>
              <w:tc>
                <w:tcPr>
                  <w:tcW w:w="383" w:type="pct"/>
                  <w:vAlign w:val="center"/>
                </w:tcPr>
                <w:p>
                  <w:pPr>
                    <w:adjustRightInd w:val="0"/>
                    <w:snapToGrid w:val="0"/>
                    <w:jc w:val="center"/>
                    <w:textAlignment w:val="baseline"/>
                    <w:rPr>
                      <w:color w:val="000000"/>
                      <w:spacing w:val="4"/>
                      <w:szCs w:val="21"/>
                    </w:rPr>
                  </w:pPr>
                  <w:r>
                    <w:rPr>
                      <w:color w:val="000000"/>
                      <w:spacing w:val="4"/>
                      <w:szCs w:val="21"/>
                    </w:rPr>
                    <w:t>危险废物</w:t>
                  </w:r>
                </w:p>
              </w:tc>
              <w:tc>
                <w:tcPr>
                  <w:tcW w:w="583" w:type="pct"/>
                  <w:vAlign w:val="center"/>
                </w:tcPr>
                <w:p>
                  <w:pPr>
                    <w:tabs>
                      <w:tab w:val="left" w:pos="0"/>
                    </w:tabs>
                    <w:adjustRightInd w:val="0"/>
                    <w:snapToGrid w:val="0"/>
                    <w:jc w:val="center"/>
                    <w:textAlignment w:val="baseline"/>
                    <w:rPr>
                      <w:color w:val="000000"/>
                      <w:szCs w:val="21"/>
                    </w:rPr>
                  </w:pPr>
                  <w:r>
                    <w:rPr>
                      <w:color w:val="000000"/>
                      <w:spacing w:val="4"/>
                    </w:rPr>
                    <w:t>废气处理</w:t>
                  </w:r>
                </w:p>
              </w:tc>
              <w:tc>
                <w:tcPr>
                  <w:tcW w:w="326" w:type="pct"/>
                  <w:vAlign w:val="center"/>
                </w:tcPr>
                <w:p>
                  <w:pPr>
                    <w:tabs>
                      <w:tab w:val="left" w:pos="0"/>
                    </w:tabs>
                    <w:adjustRightInd w:val="0"/>
                    <w:snapToGrid w:val="0"/>
                    <w:jc w:val="center"/>
                    <w:textAlignment w:val="baseline"/>
                    <w:rPr>
                      <w:color w:val="000000"/>
                      <w:spacing w:val="4"/>
                      <w:szCs w:val="22"/>
                    </w:rPr>
                  </w:pPr>
                  <w:r>
                    <w:rPr>
                      <w:color w:val="000000"/>
                      <w:spacing w:val="4"/>
                    </w:rPr>
                    <w:t>固态</w:t>
                  </w:r>
                </w:p>
              </w:tc>
              <w:tc>
                <w:tcPr>
                  <w:tcW w:w="501" w:type="pct"/>
                  <w:vAlign w:val="center"/>
                </w:tcPr>
                <w:p>
                  <w:pPr>
                    <w:tabs>
                      <w:tab w:val="left" w:pos="0"/>
                    </w:tabs>
                    <w:adjustRightInd w:val="0"/>
                    <w:snapToGrid w:val="0"/>
                    <w:jc w:val="center"/>
                    <w:textAlignment w:val="baseline"/>
                    <w:rPr>
                      <w:color w:val="000000"/>
                      <w:szCs w:val="21"/>
                    </w:rPr>
                  </w:pPr>
                  <w:r>
                    <w:rPr>
                      <w:color w:val="000000"/>
                      <w:spacing w:val="4"/>
                    </w:rPr>
                    <w:t>有机物、活性炭</w:t>
                  </w:r>
                </w:p>
              </w:tc>
              <w:tc>
                <w:tcPr>
                  <w:tcW w:w="720" w:type="pct"/>
                  <w:vMerge w:val="continue"/>
                  <w:vAlign w:val="center"/>
                </w:tcPr>
                <w:p>
                  <w:pPr>
                    <w:tabs>
                      <w:tab w:val="left" w:pos="0"/>
                    </w:tabs>
                    <w:adjustRightInd w:val="0"/>
                    <w:snapToGrid w:val="0"/>
                    <w:jc w:val="center"/>
                    <w:textAlignment w:val="baseline"/>
                    <w:rPr>
                      <w:snapToGrid w:val="0"/>
                      <w:color w:val="000000"/>
                      <w:spacing w:val="4"/>
                      <w:szCs w:val="21"/>
                    </w:rPr>
                  </w:pPr>
                </w:p>
              </w:tc>
              <w:tc>
                <w:tcPr>
                  <w:tcW w:w="41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T/In</w:t>
                  </w:r>
                </w:p>
              </w:tc>
              <w:tc>
                <w:tcPr>
                  <w:tcW w:w="773" w:type="pct"/>
                  <w:vAlign w:val="center"/>
                </w:tcPr>
                <w:p>
                  <w:pPr>
                    <w:widowControl/>
                    <w:jc w:val="center"/>
                    <w:rPr>
                      <w:color w:val="000000"/>
                      <w:kern w:val="0"/>
                      <w:szCs w:val="21"/>
                    </w:rPr>
                  </w:pPr>
                  <w:r>
                    <w:rPr>
                      <w:color w:val="000000"/>
                      <w:kern w:val="0"/>
                      <w:szCs w:val="21"/>
                    </w:rPr>
                    <w:t>HW49</w:t>
                  </w:r>
                </w:p>
                <w:p>
                  <w:pPr>
                    <w:widowControl/>
                    <w:jc w:val="center"/>
                    <w:rPr>
                      <w:color w:val="000000"/>
                      <w:kern w:val="0"/>
                      <w:szCs w:val="21"/>
                    </w:rPr>
                  </w:pPr>
                  <w:r>
                    <w:rPr>
                      <w:color w:val="000000"/>
                      <w:kern w:val="0"/>
                      <w:szCs w:val="21"/>
                    </w:rPr>
                    <w:t>900-039-49</w:t>
                  </w:r>
                </w:p>
              </w:tc>
              <w:tc>
                <w:tcPr>
                  <w:tcW w:w="499" w:type="pct"/>
                  <w:vAlign w:val="center"/>
                </w:tcPr>
                <w:p>
                  <w:pPr>
                    <w:tabs>
                      <w:tab w:val="left" w:pos="0"/>
                    </w:tabs>
                    <w:adjustRightInd w:val="0"/>
                    <w:snapToGrid w:val="0"/>
                    <w:jc w:val="center"/>
                    <w:textAlignment w:val="baseline"/>
                    <w:rPr>
                      <w:color w:val="000000"/>
                      <w:spacing w:val="4"/>
                    </w:rPr>
                  </w:pPr>
                  <w:r>
                    <w:rPr>
                      <w:rFonts w:hint="eastAsia"/>
                      <w:color w:val="000000"/>
                      <w:spacing w:val="4"/>
                    </w:rPr>
                    <w:t>6.59</w:t>
                  </w:r>
                </w:p>
              </w:tc>
            </w:tr>
          </w:tbl>
          <w:p>
            <w:pPr>
              <w:snapToGrid w:val="0"/>
              <w:spacing w:before="60"/>
              <w:jc w:val="center"/>
              <w:rPr>
                <w:b/>
                <w:color w:val="000000"/>
                <w:sz w:val="24"/>
              </w:rPr>
            </w:pPr>
            <w:r>
              <w:rPr>
                <w:b/>
                <w:color w:val="000000"/>
                <w:sz w:val="24"/>
              </w:rPr>
              <w:t>表4-23  建设项目危险废物汇总表</w:t>
            </w:r>
          </w:p>
          <w:tbl>
            <w:tblPr>
              <w:tblStyle w:val="20"/>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57" w:type="dxa"/>
                <w:bottom w:w="0" w:type="dxa"/>
                <w:right w:w="57" w:type="dxa"/>
              </w:tblCellMar>
            </w:tblPr>
            <w:tblGrid>
              <w:gridCol w:w="366"/>
              <w:gridCol w:w="922"/>
              <w:gridCol w:w="1555"/>
              <w:gridCol w:w="780"/>
              <w:gridCol w:w="1201"/>
              <w:gridCol w:w="555"/>
              <w:gridCol w:w="1003"/>
              <w:gridCol w:w="876"/>
              <w:gridCol w:w="666"/>
              <w:gridCol w:w="11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69" w:hRule="atLeast"/>
                <w:jc w:val="center"/>
              </w:trPr>
              <w:tc>
                <w:tcPr>
                  <w:tcW w:w="202" w:type="pct"/>
                  <w:vAlign w:val="center"/>
                </w:tcPr>
                <w:p>
                  <w:pPr>
                    <w:tabs>
                      <w:tab w:val="left" w:pos="0"/>
                    </w:tabs>
                    <w:jc w:val="center"/>
                    <w:rPr>
                      <w:b/>
                      <w:color w:val="000000"/>
                      <w:szCs w:val="21"/>
                    </w:rPr>
                  </w:pPr>
                  <w:r>
                    <w:rPr>
                      <w:b/>
                      <w:color w:val="000000"/>
                      <w:szCs w:val="21"/>
                    </w:rPr>
                    <w:t>序号</w:t>
                  </w:r>
                </w:p>
              </w:tc>
              <w:tc>
                <w:tcPr>
                  <w:tcW w:w="508" w:type="pct"/>
                  <w:vAlign w:val="center"/>
                </w:tcPr>
                <w:p>
                  <w:pPr>
                    <w:tabs>
                      <w:tab w:val="left" w:pos="0"/>
                    </w:tabs>
                    <w:jc w:val="center"/>
                    <w:rPr>
                      <w:b/>
                      <w:color w:val="000000"/>
                      <w:szCs w:val="21"/>
                    </w:rPr>
                  </w:pPr>
                  <w:r>
                    <w:rPr>
                      <w:b/>
                      <w:color w:val="000000"/>
                      <w:szCs w:val="21"/>
                    </w:rPr>
                    <w:t>危险废物名称</w:t>
                  </w:r>
                </w:p>
              </w:tc>
              <w:tc>
                <w:tcPr>
                  <w:tcW w:w="857" w:type="pct"/>
                  <w:vAlign w:val="center"/>
                </w:tcPr>
                <w:p>
                  <w:pPr>
                    <w:tabs>
                      <w:tab w:val="left" w:pos="0"/>
                    </w:tabs>
                    <w:jc w:val="center"/>
                    <w:rPr>
                      <w:b/>
                      <w:color w:val="000000"/>
                      <w:szCs w:val="21"/>
                    </w:rPr>
                  </w:pPr>
                  <w:r>
                    <w:rPr>
                      <w:b/>
                      <w:color w:val="000000"/>
                      <w:szCs w:val="21"/>
                    </w:rPr>
                    <w:t>危险废物</w:t>
                  </w:r>
                </w:p>
                <w:p>
                  <w:pPr>
                    <w:tabs>
                      <w:tab w:val="left" w:pos="0"/>
                    </w:tabs>
                    <w:jc w:val="center"/>
                    <w:rPr>
                      <w:b/>
                      <w:color w:val="000000"/>
                      <w:szCs w:val="21"/>
                    </w:rPr>
                  </w:pPr>
                  <w:r>
                    <w:rPr>
                      <w:b/>
                      <w:color w:val="000000"/>
                      <w:szCs w:val="21"/>
                    </w:rPr>
                    <w:t>类别及代码</w:t>
                  </w:r>
                </w:p>
              </w:tc>
              <w:tc>
                <w:tcPr>
                  <w:tcW w:w="430" w:type="pct"/>
                  <w:vAlign w:val="center"/>
                </w:tcPr>
                <w:p>
                  <w:pPr>
                    <w:tabs>
                      <w:tab w:val="left" w:pos="0"/>
                    </w:tabs>
                    <w:jc w:val="center"/>
                    <w:rPr>
                      <w:b/>
                      <w:color w:val="000000"/>
                      <w:szCs w:val="21"/>
                    </w:rPr>
                  </w:pPr>
                  <w:r>
                    <w:rPr>
                      <w:b/>
                      <w:color w:val="000000"/>
                      <w:szCs w:val="21"/>
                    </w:rPr>
                    <w:t>产生量t/a</w:t>
                  </w:r>
                </w:p>
              </w:tc>
              <w:tc>
                <w:tcPr>
                  <w:tcW w:w="662" w:type="pct"/>
                  <w:vAlign w:val="center"/>
                </w:tcPr>
                <w:p>
                  <w:pPr>
                    <w:tabs>
                      <w:tab w:val="left" w:pos="0"/>
                    </w:tabs>
                    <w:jc w:val="center"/>
                    <w:rPr>
                      <w:b/>
                      <w:color w:val="000000"/>
                      <w:szCs w:val="21"/>
                    </w:rPr>
                  </w:pPr>
                  <w:r>
                    <w:rPr>
                      <w:b/>
                      <w:color w:val="000000"/>
                      <w:szCs w:val="21"/>
                    </w:rPr>
                    <w:t>产生工序及装置</w:t>
                  </w:r>
                </w:p>
              </w:tc>
              <w:tc>
                <w:tcPr>
                  <w:tcW w:w="306" w:type="pct"/>
                  <w:vAlign w:val="center"/>
                </w:tcPr>
                <w:p>
                  <w:pPr>
                    <w:tabs>
                      <w:tab w:val="left" w:pos="0"/>
                    </w:tabs>
                    <w:jc w:val="center"/>
                    <w:rPr>
                      <w:b/>
                      <w:color w:val="000000"/>
                      <w:szCs w:val="21"/>
                    </w:rPr>
                  </w:pPr>
                  <w:r>
                    <w:rPr>
                      <w:b/>
                      <w:color w:val="000000"/>
                      <w:szCs w:val="21"/>
                    </w:rPr>
                    <w:t>形态</w:t>
                  </w:r>
                </w:p>
              </w:tc>
              <w:tc>
                <w:tcPr>
                  <w:tcW w:w="553" w:type="pct"/>
                  <w:vAlign w:val="center"/>
                </w:tcPr>
                <w:p>
                  <w:pPr>
                    <w:tabs>
                      <w:tab w:val="left" w:pos="0"/>
                    </w:tabs>
                    <w:jc w:val="center"/>
                    <w:rPr>
                      <w:b/>
                      <w:color w:val="000000"/>
                      <w:szCs w:val="21"/>
                    </w:rPr>
                  </w:pPr>
                  <w:r>
                    <w:rPr>
                      <w:b/>
                      <w:color w:val="000000"/>
                      <w:szCs w:val="21"/>
                    </w:rPr>
                    <w:t>主要成分</w:t>
                  </w:r>
                </w:p>
              </w:tc>
              <w:tc>
                <w:tcPr>
                  <w:tcW w:w="483" w:type="pct"/>
                  <w:vAlign w:val="center"/>
                </w:tcPr>
                <w:p>
                  <w:pPr>
                    <w:tabs>
                      <w:tab w:val="left" w:pos="0"/>
                    </w:tabs>
                    <w:jc w:val="center"/>
                    <w:rPr>
                      <w:b/>
                      <w:color w:val="000000"/>
                      <w:szCs w:val="21"/>
                    </w:rPr>
                  </w:pPr>
                  <w:r>
                    <w:rPr>
                      <w:b/>
                      <w:color w:val="000000"/>
                      <w:szCs w:val="21"/>
                    </w:rPr>
                    <w:t>有害成分</w:t>
                  </w:r>
                </w:p>
              </w:tc>
              <w:tc>
                <w:tcPr>
                  <w:tcW w:w="367" w:type="pct"/>
                  <w:vAlign w:val="center"/>
                </w:tcPr>
                <w:p>
                  <w:pPr>
                    <w:tabs>
                      <w:tab w:val="left" w:pos="0"/>
                    </w:tabs>
                    <w:jc w:val="center"/>
                    <w:rPr>
                      <w:b/>
                      <w:color w:val="000000"/>
                      <w:szCs w:val="21"/>
                    </w:rPr>
                  </w:pPr>
                  <w:r>
                    <w:rPr>
                      <w:b/>
                      <w:color w:val="000000"/>
                      <w:szCs w:val="21"/>
                    </w:rPr>
                    <w:t>危险特性</w:t>
                  </w:r>
                </w:p>
              </w:tc>
              <w:tc>
                <w:tcPr>
                  <w:tcW w:w="627" w:type="pct"/>
                  <w:vAlign w:val="center"/>
                </w:tcPr>
                <w:p>
                  <w:pPr>
                    <w:tabs>
                      <w:tab w:val="left" w:pos="0"/>
                    </w:tabs>
                    <w:jc w:val="center"/>
                    <w:rPr>
                      <w:b/>
                      <w:color w:val="000000"/>
                      <w:szCs w:val="21"/>
                    </w:rPr>
                  </w:pPr>
                  <w:r>
                    <w:rPr>
                      <w:b/>
                      <w:color w:val="000000"/>
                      <w:szCs w:val="21"/>
                    </w:rPr>
                    <w:t>污染防治措施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83" w:hRule="atLeast"/>
                <w:jc w:val="center"/>
              </w:trPr>
              <w:tc>
                <w:tcPr>
                  <w:tcW w:w="202" w:type="pct"/>
                  <w:vAlign w:val="center"/>
                </w:tcPr>
                <w:p>
                  <w:pPr>
                    <w:tabs>
                      <w:tab w:val="left" w:pos="0"/>
                    </w:tabs>
                    <w:jc w:val="center"/>
                    <w:rPr>
                      <w:bCs/>
                      <w:color w:val="000000"/>
                      <w:szCs w:val="21"/>
                    </w:rPr>
                  </w:pPr>
                  <w:r>
                    <w:rPr>
                      <w:bCs/>
                      <w:color w:val="000000"/>
                      <w:szCs w:val="21"/>
                    </w:rPr>
                    <w:t>1</w:t>
                  </w:r>
                </w:p>
              </w:tc>
              <w:tc>
                <w:tcPr>
                  <w:tcW w:w="508" w:type="pct"/>
                  <w:vAlign w:val="center"/>
                </w:tcPr>
                <w:p>
                  <w:pPr>
                    <w:pStyle w:val="61"/>
                    <w:rPr>
                      <w:color w:val="000000"/>
                      <w:spacing w:val="4"/>
                    </w:rPr>
                  </w:pPr>
                  <w:r>
                    <w:rPr>
                      <w:rFonts w:hint="eastAsia"/>
                      <w:color w:val="000000"/>
                      <w:szCs w:val="21"/>
                    </w:rPr>
                    <w:t>清洗废液</w:t>
                  </w:r>
                </w:p>
              </w:tc>
              <w:tc>
                <w:tcPr>
                  <w:tcW w:w="857" w:type="pct"/>
                  <w:vAlign w:val="center"/>
                </w:tcPr>
                <w:p>
                  <w:pPr>
                    <w:widowControl/>
                    <w:jc w:val="center"/>
                    <w:rPr>
                      <w:color w:val="000000"/>
                      <w:kern w:val="0"/>
                      <w:szCs w:val="21"/>
                    </w:rPr>
                  </w:pPr>
                  <w:r>
                    <w:rPr>
                      <w:color w:val="000000"/>
                      <w:kern w:val="0"/>
                      <w:szCs w:val="21"/>
                    </w:rPr>
                    <w:t>HW</w:t>
                  </w:r>
                  <w:r>
                    <w:rPr>
                      <w:rFonts w:hint="eastAsia"/>
                      <w:color w:val="000000"/>
                      <w:kern w:val="0"/>
                      <w:szCs w:val="21"/>
                    </w:rPr>
                    <w:t>06</w:t>
                  </w:r>
                </w:p>
                <w:p>
                  <w:pPr>
                    <w:widowControl/>
                    <w:jc w:val="center"/>
                    <w:rPr>
                      <w:color w:val="000000"/>
                      <w:spacing w:val="4"/>
                      <w:szCs w:val="22"/>
                    </w:rPr>
                  </w:pPr>
                  <w:r>
                    <w:rPr>
                      <w:color w:val="000000"/>
                      <w:kern w:val="0"/>
                      <w:szCs w:val="21"/>
                    </w:rPr>
                    <w:t>900-</w:t>
                  </w:r>
                  <w:r>
                    <w:rPr>
                      <w:rFonts w:hint="eastAsia"/>
                      <w:color w:val="000000"/>
                      <w:kern w:val="0"/>
                      <w:szCs w:val="21"/>
                    </w:rPr>
                    <w:t>404</w:t>
                  </w:r>
                  <w:r>
                    <w:rPr>
                      <w:color w:val="000000"/>
                      <w:kern w:val="0"/>
                      <w:szCs w:val="21"/>
                    </w:rPr>
                    <w:t>-</w:t>
                  </w:r>
                  <w:r>
                    <w:rPr>
                      <w:rFonts w:hint="eastAsia"/>
                      <w:color w:val="000000"/>
                      <w:kern w:val="0"/>
                      <w:szCs w:val="21"/>
                    </w:rPr>
                    <w:t>06</w:t>
                  </w:r>
                </w:p>
              </w:tc>
              <w:tc>
                <w:tcPr>
                  <w:tcW w:w="430" w:type="pct"/>
                  <w:vAlign w:val="center"/>
                </w:tcPr>
                <w:p>
                  <w:pPr>
                    <w:tabs>
                      <w:tab w:val="left" w:pos="0"/>
                    </w:tabs>
                    <w:adjustRightInd w:val="0"/>
                    <w:snapToGrid w:val="0"/>
                    <w:jc w:val="center"/>
                    <w:textAlignment w:val="baseline"/>
                    <w:rPr>
                      <w:color w:val="000000"/>
                      <w:spacing w:val="4"/>
                    </w:rPr>
                  </w:pPr>
                  <w:r>
                    <w:rPr>
                      <w:rFonts w:hint="eastAsia"/>
                      <w:color w:val="000000"/>
                      <w:spacing w:val="4"/>
                    </w:rPr>
                    <w:t>0.172</w:t>
                  </w:r>
                </w:p>
              </w:tc>
              <w:tc>
                <w:tcPr>
                  <w:tcW w:w="662" w:type="pct"/>
                  <w:vAlign w:val="center"/>
                </w:tcPr>
                <w:p>
                  <w:pPr>
                    <w:pStyle w:val="61"/>
                    <w:rPr>
                      <w:color w:val="000000"/>
                      <w:spacing w:val="4"/>
                    </w:rPr>
                  </w:pPr>
                  <w:r>
                    <w:rPr>
                      <w:rFonts w:hint="eastAsia"/>
                      <w:color w:val="000000"/>
                      <w:szCs w:val="21"/>
                      <w:lang w:eastAsia="zh-CN"/>
                    </w:rPr>
                    <w:t>网版</w:t>
                  </w:r>
                  <w:r>
                    <w:rPr>
                      <w:rFonts w:hint="eastAsia"/>
                      <w:color w:val="000000"/>
                      <w:szCs w:val="21"/>
                    </w:rPr>
                    <w:t>印刷</w:t>
                  </w:r>
                </w:p>
              </w:tc>
              <w:tc>
                <w:tcPr>
                  <w:tcW w:w="306" w:type="pct"/>
                  <w:vAlign w:val="center"/>
                </w:tcPr>
                <w:p>
                  <w:pPr>
                    <w:tabs>
                      <w:tab w:val="left" w:pos="0"/>
                    </w:tabs>
                    <w:adjustRightInd w:val="0"/>
                    <w:snapToGrid w:val="0"/>
                    <w:jc w:val="center"/>
                    <w:textAlignment w:val="baseline"/>
                    <w:rPr>
                      <w:color w:val="000000"/>
                      <w:spacing w:val="4"/>
                    </w:rPr>
                  </w:pPr>
                  <w:r>
                    <w:rPr>
                      <w:rFonts w:hint="eastAsia"/>
                      <w:color w:val="000000"/>
                      <w:spacing w:val="4"/>
                      <w:szCs w:val="22"/>
                    </w:rPr>
                    <w:t>液</w:t>
                  </w:r>
                  <w:r>
                    <w:rPr>
                      <w:color w:val="000000"/>
                      <w:spacing w:val="4"/>
                      <w:szCs w:val="22"/>
                    </w:rPr>
                    <w:t>态</w:t>
                  </w:r>
                </w:p>
              </w:tc>
              <w:tc>
                <w:tcPr>
                  <w:tcW w:w="553" w:type="pct"/>
                  <w:vAlign w:val="center"/>
                </w:tcPr>
                <w:p>
                  <w:pPr>
                    <w:pStyle w:val="61"/>
                    <w:rPr>
                      <w:color w:val="000000"/>
                      <w:spacing w:val="4"/>
                      <w:kern w:val="0"/>
                      <w:szCs w:val="21"/>
                    </w:rPr>
                  </w:pPr>
                  <w:r>
                    <w:rPr>
                      <w:rFonts w:hint="eastAsia"/>
                      <w:color w:val="000000"/>
                      <w:szCs w:val="21"/>
                      <w:lang w:eastAsia="zh-CN"/>
                    </w:rPr>
                    <w:t>网版</w:t>
                  </w:r>
                  <w:r>
                    <w:rPr>
                      <w:rFonts w:hint="eastAsia"/>
                      <w:color w:val="000000"/>
                      <w:szCs w:val="21"/>
                    </w:rPr>
                    <w:t>清洗剂</w:t>
                  </w:r>
                </w:p>
              </w:tc>
              <w:tc>
                <w:tcPr>
                  <w:tcW w:w="483" w:type="pct"/>
                  <w:vAlign w:val="center"/>
                </w:tcPr>
                <w:p>
                  <w:pPr>
                    <w:pStyle w:val="61"/>
                    <w:rPr>
                      <w:bCs/>
                      <w:color w:val="000000"/>
                      <w:spacing w:val="4"/>
                      <w:szCs w:val="21"/>
                    </w:rPr>
                  </w:pPr>
                  <w:r>
                    <w:rPr>
                      <w:rFonts w:hint="eastAsia"/>
                      <w:color w:val="000000"/>
                      <w:szCs w:val="21"/>
                      <w:lang w:eastAsia="zh-CN"/>
                    </w:rPr>
                    <w:t>网版</w:t>
                  </w:r>
                  <w:r>
                    <w:rPr>
                      <w:rFonts w:hint="eastAsia"/>
                      <w:color w:val="000000"/>
                      <w:szCs w:val="21"/>
                    </w:rPr>
                    <w:t>清洗剂</w:t>
                  </w:r>
                </w:p>
              </w:tc>
              <w:tc>
                <w:tcPr>
                  <w:tcW w:w="36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T/I</w:t>
                  </w:r>
                  <w:r>
                    <w:rPr>
                      <w:rFonts w:hint="eastAsia"/>
                      <w:color w:val="000000"/>
                      <w:spacing w:val="4"/>
                      <w:szCs w:val="22"/>
                    </w:rPr>
                    <w:t>/R</w:t>
                  </w:r>
                </w:p>
              </w:tc>
              <w:tc>
                <w:tcPr>
                  <w:tcW w:w="627" w:type="pct"/>
                  <w:vAlign w:val="center"/>
                </w:tcPr>
                <w:p>
                  <w:pPr>
                    <w:tabs>
                      <w:tab w:val="left" w:pos="0"/>
                    </w:tabs>
                    <w:adjustRightInd w:val="0"/>
                    <w:snapToGrid w:val="0"/>
                    <w:jc w:val="center"/>
                    <w:textAlignment w:val="baseline"/>
                    <w:rPr>
                      <w:bCs/>
                      <w:color w:val="000000"/>
                      <w:szCs w:val="21"/>
                    </w:rPr>
                  </w:pPr>
                  <w:r>
                    <w:rPr>
                      <w:color w:val="000000"/>
                      <w:spacing w:val="4"/>
                    </w:rPr>
                    <w:t>密封袋装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83" w:hRule="atLeast"/>
                <w:jc w:val="center"/>
              </w:trPr>
              <w:tc>
                <w:tcPr>
                  <w:tcW w:w="202" w:type="pct"/>
                  <w:vAlign w:val="center"/>
                </w:tcPr>
                <w:p>
                  <w:pPr>
                    <w:tabs>
                      <w:tab w:val="left" w:pos="0"/>
                    </w:tabs>
                    <w:jc w:val="center"/>
                    <w:rPr>
                      <w:bCs/>
                      <w:color w:val="000000"/>
                      <w:szCs w:val="21"/>
                    </w:rPr>
                  </w:pPr>
                  <w:r>
                    <w:rPr>
                      <w:bCs/>
                      <w:color w:val="000000"/>
                      <w:szCs w:val="21"/>
                    </w:rPr>
                    <w:t>2</w:t>
                  </w:r>
                </w:p>
              </w:tc>
              <w:tc>
                <w:tcPr>
                  <w:tcW w:w="508" w:type="pct"/>
                  <w:vAlign w:val="center"/>
                </w:tcPr>
                <w:p>
                  <w:pPr>
                    <w:pStyle w:val="61"/>
                    <w:rPr>
                      <w:color w:val="000000"/>
                      <w:spacing w:val="4"/>
                    </w:rPr>
                  </w:pPr>
                  <w:r>
                    <w:rPr>
                      <w:color w:val="000000"/>
                      <w:szCs w:val="21"/>
                    </w:rPr>
                    <w:t>废擦拭纸</w:t>
                  </w:r>
                </w:p>
              </w:tc>
              <w:tc>
                <w:tcPr>
                  <w:tcW w:w="857" w:type="pct"/>
                  <w:vAlign w:val="center"/>
                </w:tcPr>
                <w:p>
                  <w:pPr>
                    <w:widowControl/>
                    <w:jc w:val="center"/>
                    <w:rPr>
                      <w:color w:val="000000"/>
                      <w:kern w:val="0"/>
                      <w:szCs w:val="21"/>
                    </w:rPr>
                  </w:pPr>
                  <w:r>
                    <w:rPr>
                      <w:color w:val="000000"/>
                      <w:kern w:val="0"/>
                      <w:szCs w:val="21"/>
                    </w:rPr>
                    <w:t>HW49</w:t>
                  </w:r>
                </w:p>
                <w:p>
                  <w:pPr>
                    <w:widowControl/>
                    <w:jc w:val="center"/>
                    <w:rPr>
                      <w:color w:val="000000"/>
                      <w:spacing w:val="4"/>
                    </w:rPr>
                  </w:pPr>
                  <w:r>
                    <w:rPr>
                      <w:color w:val="000000"/>
                      <w:kern w:val="0"/>
                      <w:szCs w:val="21"/>
                    </w:rPr>
                    <w:t>900-041-49</w:t>
                  </w:r>
                </w:p>
              </w:tc>
              <w:tc>
                <w:tcPr>
                  <w:tcW w:w="430" w:type="pct"/>
                  <w:vAlign w:val="center"/>
                </w:tcPr>
                <w:p>
                  <w:pPr>
                    <w:tabs>
                      <w:tab w:val="left" w:pos="0"/>
                    </w:tabs>
                    <w:adjustRightInd w:val="0"/>
                    <w:snapToGrid w:val="0"/>
                    <w:jc w:val="center"/>
                    <w:textAlignment w:val="baseline"/>
                    <w:rPr>
                      <w:rFonts w:hint="eastAsia" w:eastAsia="宋体"/>
                      <w:color w:val="000000"/>
                      <w:spacing w:val="4"/>
                      <w:lang w:eastAsia="zh-CN"/>
                    </w:rPr>
                  </w:pPr>
                  <w:r>
                    <w:rPr>
                      <w:rFonts w:hint="eastAsia"/>
                      <w:color w:val="000000"/>
                      <w:spacing w:val="4"/>
                    </w:rPr>
                    <w:t>0.</w:t>
                  </w:r>
                  <w:r>
                    <w:rPr>
                      <w:rFonts w:hint="eastAsia"/>
                      <w:color w:val="000000"/>
                      <w:spacing w:val="4"/>
                      <w:lang w:val="en-US" w:eastAsia="zh-CN"/>
                    </w:rPr>
                    <w:t>1</w:t>
                  </w:r>
                </w:p>
              </w:tc>
              <w:tc>
                <w:tcPr>
                  <w:tcW w:w="662" w:type="pct"/>
                  <w:vAlign w:val="center"/>
                </w:tcPr>
                <w:p>
                  <w:pPr>
                    <w:pStyle w:val="61"/>
                    <w:rPr>
                      <w:color w:val="000000"/>
                      <w:spacing w:val="4"/>
                    </w:rPr>
                  </w:pPr>
                  <w:r>
                    <w:rPr>
                      <w:rFonts w:hint="eastAsia"/>
                      <w:color w:val="000000"/>
                      <w:szCs w:val="21"/>
                    </w:rPr>
                    <w:t>清除涂覆</w:t>
                  </w:r>
                </w:p>
              </w:tc>
              <w:tc>
                <w:tcPr>
                  <w:tcW w:w="306" w:type="pct"/>
                  <w:vAlign w:val="center"/>
                </w:tcPr>
                <w:p>
                  <w:pPr>
                    <w:tabs>
                      <w:tab w:val="left" w:pos="0"/>
                    </w:tabs>
                    <w:adjustRightInd w:val="0"/>
                    <w:snapToGrid w:val="0"/>
                    <w:jc w:val="center"/>
                    <w:textAlignment w:val="baseline"/>
                    <w:rPr>
                      <w:color w:val="000000"/>
                      <w:spacing w:val="4"/>
                    </w:rPr>
                  </w:pPr>
                  <w:r>
                    <w:rPr>
                      <w:color w:val="000000"/>
                      <w:spacing w:val="4"/>
                      <w:szCs w:val="22"/>
                    </w:rPr>
                    <w:t>固态</w:t>
                  </w:r>
                </w:p>
              </w:tc>
              <w:tc>
                <w:tcPr>
                  <w:tcW w:w="553" w:type="pct"/>
                  <w:vAlign w:val="center"/>
                </w:tcPr>
                <w:p>
                  <w:pPr>
                    <w:pStyle w:val="61"/>
                    <w:rPr>
                      <w:color w:val="000000"/>
                      <w:spacing w:val="4"/>
                    </w:rPr>
                  </w:pPr>
                  <w:r>
                    <w:rPr>
                      <w:color w:val="000000"/>
                      <w:szCs w:val="21"/>
                    </w:rPr>
                    <w:t>废擦拭纸、</w:t>
                  </w:r>
                  <w:r>
                    <w:rPr>
                      <w:rFonts w:hint="eastAsia"/>
                      <w:color w:val="000000"/>
                      <w:szCs w:val="21"/>
                    </w:rPr>
                    <w:t>清洗剂</w:t>
                  </w:r>
                </w:p>
              </w:tc>
              <w:tc>
                <w:tcPr>
                  <w:tcW w:w="483" w:type="pct"/>
                  <w:vAlign w:val="center"/>
                </w:tcPr>
                <w:p>
                  <w:pPr>
                    <w:pStyle w:val="61"/>
                    <w:rPr>
                      <w:color w:val="000000"/>
                      <w:spacing w:val="4"/>
                    </w:rPr>
                  </w:pPr>
                  <w:r>
                    <w:rPr>
                      <w:color w:val="000000"/>
                      <w:szCs w:val="21"/>
                    </w:rPr>
                    <w:t>废擦拭纸、</w:t>
                  </w:r>
                  <w:r>
                    <w:rPr>
                      <w:rFonts w:hint="eastAsia"/>
                      <w:color w:val="000000"/>
                      <w:szCs w:val="21"/>
                    </w:rPr>
                    <w:t>清洗剂</w:t>
                  </w:r>
                </w:p>
              </w:tc>
              <w:tc>
                <w:tcPr>
                  <w:tcW w:w="367" w:type="pct"/>
                  <w:vAlign w:val="center"/>
                </w:tcPr>
                <w:p>
                  <w:pPr>
                    <w:tabs>
                      <w:tab w:val="left" w:pos="0"/>
                    </w:tabs>
                    <w:adjustRightInd w:val="0"/>
                    <w:snapToGrid w:val="0"/>
                    <w:jc w:val="center"/>
                    <w:textAlignment w:val="baseline"/>
                    <w:rPr>
                      <w:color w:val="000000"/>
                      <w:spacing w:val="4"/>
                    </w:rPr>
                  </w:pPr>
                  <w:r>
                    <w:rPr>
                      <w:color w:val="000000"/>
                      <w:spacing w:val="4"/>
                      <w:szCs w:val="22"/>
                    </w:rPr>
                    <w:t>T/In</w:t>
                  </w:r>
                </w:p>
              </w:tc>
              <w:tc>
                <w:tcPr>
                  <w:tcW w:w="627" w:type="pct"/>
                  <w:vAlign w:val="center"/>
                </w:tcPr>
                <w:p>
                  <w:pPr>
                    <w:tabs>
                      <w:tab w:val="left" w:pos="0"/>
                    </w:tabs>
                    <w:adjustRightInd w:val="0"/>
                    <w:snapToGrid w:val="0"/>
                    <w:jc w:val="center"/>
                    <w:textAlignment w:val="baseline"/>
                    <w:rPr>
                      <w:color w:val="000000"/>
                      <w:spacing w:val="4"/>
                    </w:rPr>
                  </w:pPr>
                  <w:r>
                    <w:rPr>
                      <w:color w:val="000000"/>
                      <w:spacing w:val="4"/>
                    </w:rPr>
                    <w:t>密封袋装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83" w:hRule="atLeast"/>
                <w:jc w:val="center"/>
              </w:trPr>
              <w:tc>
                <w:tcPr>
                  <w:tcW w:w="202" w:type="pct"/>
                  <w:vAlign w:val="center"/>
                </w:tcPr>
                <w:p>
                  <w:pPr>
                    <w:tabs>
                      <w:tab w:val="left" w:pos="0"/>
                    </w:tabs>
                    <w:jc w:val="center"/>
                    <w:rPr>
                      <w:bCs/>
                      <w:color w:val="000000"/>
                      <w:szCs w:val="21"/>
                    </w:rPr>
                  </w:pPr>
                  <w:r>
                    <w:rPr>
                      <w:rFonts w:hint="eastAsia"/>
                      <w:bCs/>
                      <w:color w:val="000000"/>
                      <w:szCs w:val="21"/>
                    </w:rPr>
                    <w:t>3</w:t>
                  </w:r>
                </w:p>
              </w:tc>
              <w:tc>
                <w:tcPr>
                  <w:tcW w:w="508" w:type="pct"/>
                  <w:vAlign w:val="center"/>
                </w:tcPr>
                <w:p>
                  <w:pPr>
                    <w:pStyle w:val="61"/>
                    <w:rPr>
                      <w:color w:val="000000"/>
                      <w:szCs w:val="21"/>
                    </w:rPr>
                  </w:pPr>
                  <w:r>
                    <w:rPr>
                      <w:rFonts w:hint="eastAsia"/>
                      <w:color w:val="000000"/>
                      <w:szCs w:val="21"/>
                    </w:rPr>
                    <w:t>废包装桶</w:t>
                  </w:r>
                </w:p>
              </w:tc>
              <w:tc>
                <w:tcPr>
                  <w:tcW w:w="857" w:type="pct"/>
                  <w:vAlign w:val="center"/>
                </w:tcPr>
                <w:p>
                  <w:pPr>
                    <w:widowControl/>
                    <w:jc w:val="center"/>
                    <w:rPr>
                      <w:color w:val="000000"/>
                      <w:kern w:val="0"/>
                      <w:szCs w:val="21"/>
                    </w:rPr>
                  </w:pPr>
                  <w:r>
                    <w:rPr>
                      <w:color w:val="000000"/>
                      <w:kern w:val="0"/>
                      <w:szCs w:val="21"/>
                    </w:rPr>
                    <w:t>HW49</w:t>
                  </w:r>
                </w:p>
                <w:p>
                  <w:pPr>
                    <w:widowControl/>
                    <w:jc w:val="center"/>
                    <w:rPr>
                      <w:color w:val="000000"/>
                      <w:kern w:val="0"/>
                      <w:szCs w:val="21"/>
                    </w:rPr>
                  </w:pPr>
                  <w:r>
                    <w:rPr>
                      <w:color w:val="000000"/>
                      <w:kern w:val="0"/>
                      <w:szCs w:val="21"/>
                    </w:rPr>
                    <w:t>900-041-49</w:t>
                  </w:r>
                </w:p>
              </w:tc>
              <w:tc>
                <w:tcPr>
                  <w:tcW w:w="430" w:type="pct"/>
                  <w:vAlign w:val="center"/>
                </w:tcPr>
                <w:p>
                  <w:pPr>
                    <w:tabs>
                      <w:tab w:val="left" w:pos="0"/>
                    </w:tabs>
                    <w:adjustRightInd w:val="0"/>
                    <w:snapToGrid w:val="0"/>
                    <w:jc w:val="center"/>
                    <w:textAlignment w:val="baseline"/>
                    <w:rPr>
                      <w:rFonts w:hint="default" w:eastAsia="宋体"/>
                      <w:color w:val="000000"/>
                      <w:spacing w:val="4"/>
                      <w:lang w:val="en-US" w:eastAsia="zh-CN"/>
                    </w:rPr>
                  </w:pPr>
                  <w:r>
                    <w:rPr>
                      <w:rFonts w:hint="eastAsia"/>
                      <w:color w:val="000000"/>
                      <w:spacing w:val="4"/>
                      <w:lang w:val="en-US" w:eastAsia="zh-CN"/>
                    </w:rPr>
                    <w:t>0.4</w:t>
                  </w:r>
                </w:p>
              </w:tc>
              <w:tc>
                <w:tcPr>
                  <w:tcW w:w="662" w:type="pct"/>
                  <w:vAlign w:val="center"/>
                </w:tcPr>
                <w:p>
                  <w:pPr>
                    <w:pStyle w:val="61"/>
                    <w:rPr>
                      <w:color w:val="000000"/>
                      <w:szCs w:val="21"/>
                    </w:rPr>
                  </w:pPr>
                  <w:r>
                    <w:rPr>
                      <w:rFonts w:hint="eastAsia"/>
                      <w:color w:val="000000"/>
                      <w:szCs w:val="21"/>
                    </w:rPr>
                    <w:t>化学品原辅料包装</w:t>
                  </w:r>
                </w:p>
              </w:tc>
              <w:tc>
                <w:tcPr>
                  <w:tcW w:w="306" w:type="pct"/>
                  <w:vAlign w:val="center"/>
                </w:tcPr>
                <w:p>
                  <w:pPr>
                    <w:tabs>
                      <w:tab w:val="left" w:pos="0"/>
                    </w:tabs>
                    <w:adjustRightInd w:val="0"/>
                    <w:snapToGrid w:val="0"/>
                    <w:jc w:val="center"/>
                    <w:textAlignment w:val="baseline"/>
                    <w:rPr>
                      <w:color w:val="000000"/>
                      <w:spacing w:val="4"/>
                    </w:rPr>
                  </w:pPr>
                  <w:r>
                    <w:rPr>
                      <w:color w:val="000000"/>
                      <w:spacing w:val="4"/>
                      <w:szCs w:val="22"/>
                    </w:rPr>
                    <w:t>固态</w:t>
                  </w:r>
                </w:p>
              </w:tc>
              <w:tc>
                <w:tcPr>
                  <w:tcW w:w="553" w:type="pct"/>
                  <w:vAlign w:val="center"/>
                </w:tcPr>
                <w:p>
                  <w:pPr>
                    <w:pStyle w:val="61"/>
                    <w:rPr>
                      <w:color w:val="000000"/>
                      <w:szCs w:val="21"/>
                    </w:rPr>
                  </w:pPr>
                  <w:r>
                    <w:rPr>
                      <w:rFonts w:hint="eastAsia"/>
                      <w:color w:val="000000"/>
                      <w:szCs w:val="21"/>
                    </w:rPr>
                    <w:t>包装桶、袋</w:t>
                  </w:r>
                </w:p>
              </w:tc>
              <w:tc>
                <w:tcPr>
                  <w:tcW w:w="483" w:type="pct"/>
                  <w:vAlign w:val="center"/>
                </w:tcPr>
                <w:p>
                  <w:pPr>
                    <w:pStyle w:val="61"/>
                    <w:rPr>
                      <w:color w:val="000000"/>
                      <w:szCs w:val="21"/>
                    </w:rPr>
                  </w:pPr>
                  <w:r>
                    <w:rPr>
                      <w:rFonts w:hint="eastAsia"/>
                      <w:color w:val="000000"/>
                      <w:szCs w:val="21"/>
                    </w:rPr>
                    <w:t>包装桶、袋</w:t>
                  </w:r>
                </w:p>
              </w:tc>
              <w:tc>
                <w:tcPr>
                  <w:tcW w:w="36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T/In</w:t>
                  </w:r>
                </w:p>
              </w:tc>
              <w:tc>
                <w:tcPr>
                  <w:tcW w:w="627" w:type="pct"/>
                  <w:vAlign w:val="center"/>
                </w:tcPr>
                <w:p>
                  <w:pPr>
                    <w:adjustRightInd w:val="0"/>
                    <w:snapToGrid w:val="0"/>
                    <w:jc w:val="center"/>
                    <w:textAlignment w:val="baseline"/>
                    <w:rPr>
                      <w:color w:val="000000"/>
                      <w:spacing w:val="4"/>
                    </w:rPr>
                  </w:pPr>
                  <w:r>
                    <w:rPr>
                      <w:color w:val="000000"/>
                      <w:spacing w:val="4"/>
                    </w:rPr>
                    <w:t>密封袋装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83" w:hRule="atLeast"/>
                <w:jc w:val="center"/>
              </w:trPr>
              <w:tc>
                <w:tcPr>
                  <w:tcW w:w="202" w:type="pct"/>
                  <w:vAlign w:val="center"/>
                </w:tcPr>
                <w:p>
                  <w:pPr>
                    <w:tabs>
                      <w:tab w:val="left" w:pos="0"/>
                    </w:tabs>
                    <w:jc w:val="center"/>
                    <w:rPr>
                      <w:rFonts w:hint="eastAsia" w:eastAsia="宋体"/>
                      <w:bCs/>
                      <w:color w:val="000000"/>
                      <w:szCs w:val="21"/>
                      <w:lang w:eastAsia="zh-CN"/>
                    </w:rPr>
                  </w:pPr>
                  <w:r>
                    <w:rPr>
                      <w:rFonts w:hint="eastAsia"/>
                      <w:bCs/>
                      <w:color w:val="000000"/>
                      <w:szCs w:val="21"/>
                      <w:lang w:val="en-US" w:eastAsia="zh-CN"/>
                    </w:rPr>
                    <w:t>4</w:t>
                  </w:r>
                </w:p>
              </w:tc>
              <w:tc>
                <w:tcPr>
                  <w:tcW w:w="508" w:type="pct"/>
                  <w:vAlign w:val="center"/>
                </w:tcPr>
                <w:p>
                  <w:pPr>
                    <w:tabs>
                      <w:tab w:val="left" w:pos="0"/>
                    </w:tabs>
                    <w:adjustRightInd w:val="0"/>
                    <w:snapToGrid w:val="0"/>
                    <w:jc w:val="center"/>
                    <w:textAlignment w:val="baseline"/>
                    <w:rPr>
                      <w:color w:val="000000"/>
                      <w:szCs w:val="21"/>
                    </w:rPr>
                  </w:pPr>
                  <w:r>
                    <w:rPr>
                      <w:color w:val="000000"/>
                      <w:spacing w:val="4"/>
                    </w:rPr>
                    <w:t>废活性炭</w:t>
                  </w:r>
                </w:p>
              </w:tc>
              <w:tc>
                <w:tcPr>
                  <w:tcW w:w="857" w:type="pct"/>
                  <w:vAlign w:val="center"/>
                </w:tcPr>
                <w:p>
                  <w:pPr>
                    <w:widowControl/>
                    <w:jc w:val="center"/>
                    <w:rPr>
                      <w:color w:val="000000"/>
                      <w:kern w:val="0"/>
                      <w:szCs w:val="21"/>
                    </w:rPr>
                  </w:pPr>
                  <w:r>
                    <w:rPr>
                      <w:color w:val="000000"/>
                      <w:kern w:val="0"/>
                      <w:szCs w:val="21"/>
                    </w:rPr>
                    <w:t>HW49</w:t>
                  </w:r>
                </w:p>
                <w:p>
                  <w:pPr>
                    <w:widowControl/>
                    <w:jc w:val="center"/>
                    <w:rPr>
                      <w:color w:val="000000"/>
                      <w:kern w:val="0"/>
                      <w:szCs w:val="21"/>
                    </w:rPr>
                  </w:pPr>
                  <w:r>
                    <w:rPr>
                      <w:color w:val="000000"/>
                      <w:kern w:val="0"/>
                      <w:szCs w:val="21"/>
                    </w:rPr>
                    <w:t>900-039-49</w:t>
                  </w:r>
                </w:p>
              </w:tc>
              <w:tc>
                <w:tcPr>
                  <w:tcW w:w="430" w:type="pct"/>
                  <w:vAlign w:val="center"/>
                </w:tcPr>
                <w:p>
                  <w:pPr>
                    <w:tabs>
                      <w:tab w:val="left" w:pos="0"/>
                    </w:tabs>
                    <w:adjustRightInd w:val="0"/>
                    <w:snapToGrid w:val="0"/>
                    <w:jc w:val="center"/>
                    <w:textAlignment w:val="baseline"/>
                    <w:rPr>
                      <w:color w:val="000000"/>
                      <w:spacing w:val="4"/>
                    </w:rPr>
                  </w:pPr>
                  <w:r>
                    <w:rPr>
                      <w:rFonts w:hint="eastAsia"/>
                      <w:color w:val="000000"/>
                      <w:spacing w:val="4"/>
                    </w:rPr>
                    <w:t>6.59</w:t>
                  </w:r>
                </w:p>
              </w:tc>
              <w:tc>
                <w:tcPr>
                  <w:tcW w:w="662" w:type="pct"/>
                  <w:vAlign w:val="center"/>
                </w:tcPr>
                <w:p>
                  <w:pPr>
                    <w:tabs>
                      <w:tab w:val="left" w:pos="0"/>
                    </w:tabs>
                    <w:adjustRightInd w:val="0"/>
                    <w:snapToGrid w:val="0"/>
                    <w:jc w:val="center"/>
                    <w:textAlignment w:val="baseline"/>
                    <w:rPr>
                      <w:color w:val="000000"/>
                      <w:szCs w:val="21"/>
                    </w:rPr>
                  </w:pPr>
                  <w:r>
                    <w:rPr>
                      <w:color w:val="000000"/>
                      <w:spacing w:val="4"/>
                    </w:rPr>
                    <w:t>废气处理</w:t>
                  </w:r>
                </w:p>
              </w:tc>
              <w:tc>
                <w:tcPr>
                  <w:tcW w:w="306" w:type="pct"/>
                  <w:vAlign w:val="center"/>
                </w:tcPr>
                <w:p>
                  <w:pPr>
                    <w:tabs>
                      <w:tab w:val="left" w:pos="0"/>
                    </w:tabs>
                    <w:adjustRightInd w:val="0"/>
                    <w:snapToGrid w:val="0"/>
                    <w:jc w:val="center"/>
                    <w:textAlignment w:val="baseline"/>
                    <w:rPr>
                      <w:color w:val="000000"/>
                      <w:spacing w:val="4"/>
                    </w:rPr>
                  </w:pPr>
                  <w:r>
                    <w:rPr>
                      <w:color w:val="000000"/>
                      <w:spacing w:val="4"/>
                    </w:rPr>
                    <w:t>固态</w:t>
                  </w:r>
                </w:p>
              </w:tc>
              <w:tc>
                <w:tcPr>
                  <w:tcW w:w="553" w:type="pct"/>
                  <w:vAlign w:val="center"/>
                </w:tcPr>
                <w:p>
                  <w:pPr>
                    <w:tabs>
                      <w:tab w:val="left" w:pos="0"/>
                    </w:tabs>
                    <w:adjustRightInd w:val="0"/>
                    <w:snapToGrid w:val="0"/>
                    <w:jc w:val="center"/>
                    <w:textAlignment w:val="baseline"/>
                    <w:rPr>
                      <w:color w:val="000000"/>
                      <w:szCs w:val="21"/>
                    </w:rPr>
                  </w:pPr>
                  <w:r>
                    <w:rPr>
                      <w:color w:val="000000"/>
                      <w:spacing w:val="4"/>
                    </w:rPr>
                    <w:t>有机物、活性炭</w:t>
                  </w:r>
                </w:p>
              </w:tc>
              <w:tc>
                <w:tcPr>
                  <w:tcW w:w="483" w:type="pct"/>
                  <w:vAlign w:val="center"/>
                </w:tcPr>
                <w:p>
                  <w:pPr>
                    <w:tabs>
                      <w:tab w:val="left" w:pos="0"/>
                    </w:tabs>
                    <w:adjustRightInd w:val="0"/>
                    <w:snapToGrid w:val="0"/>
                    <w:jc w:val="center"/>
                    <w:textAlignment w:val="baseline"/>
                    <w:rPr>
                      <w:color w:val="000000"/>
                      <w:szCs w:val="21"/>
                    </w:rPr>
                  </w:pPr>
                  <w:r>
                    <w:rPr>
                      <w:color w:val="000000"/>
                      <w:spacing w:val="4"/>
                    </w:rPr>
                    <w:t>有机物、活性炭</w:t>
                  </w:r>
                </w:p>
              </w:tc>
              <w:tc>
                <w:tcPr>
                  <w:tcW w:w="367" w:type="pct"/>
                  <w:vAlign w:val="center"/>
                </w:tcPr>
                <w:p>
                  <w:pPr>
                    <w:tabs>
                      <w:tab w:val="left" w:pos="0"/>
                    </w:tabs>
                    <w:adjustRightInd w:val="0"/>
                    <w:snapToGrid w:val="0"/>
                    <w:jc w:val="center"/>
                    <w:textAlignment w:val="baseline"/>
                    <w:rPr>
                      <w:color w:val="000000"/>
                      <w:spacing w:val="4"/>
                      <w:szCs w:val="22"/>
                    </w:rPr>
                  </w:pPr>
                  <w:r>
                    <w:rPr>
                      <w:color w:val="000000"/>
                      <w:spacing w:val="4"/>
                      <w:szCs w:val="22"/>
                    </w:rPr>
                    <w:t>T/In</w:t>
                  </w:r>
                </w:p>
              </w:tc>
              <w:tc>
                <w:tcPr>
                  <w:tcW w:w="627" w:type="pct"/>
                  <w:vAlign w:val="center"/>
                </w:tcPr>
                <w:p>
                  <w:pPr>
                    <w:adjustRightInd w:val="0"/>
                    <w:snapToGrid w:val="0"/>
                    <w:jc w:val="center"/>
                    <w:textAlignment w:val="baseline"/>
                    <w:rPr>
                      <w:color w:val="000000"/>
                      <w:spacing w:val="4"/>
                    </w:rPr>
                  </w:pPr>
                  <w:r>
                    <w:rPr>
                      <w:color w:val="000000"/>
                      <w:spacing w:val="4"/>
                    </w:rPr>
                    <w:t>密封袋装</w:t>
                  </w:r>
                </w:p>
              </w:tc>
            </w:tr>
          </w:tbl>
          <w:p>
            <w:pPr>
              <w:tabs>
                <w:tab w:val="left" w:pos="0"/>
              </w:tabs>
              <w:spacing w:line="360" w:lineRule="auto"/>
              <w:jc w:val="left"/>
              <w:rPr>
                <w:b/>
                <w:color w:val="000000"/>
                <w:sz w:val="24"/>
              </w:rPr>
            </w:pPr>
            <w:r>
              <w:rPr>
                <w:b/>
                <w:color w:val="000000"/>
                <w:sz w:val="24"/>
              </w:rPr>
              <w:t>4.4.2固体废物防治措施</w:t>
            </w:r>
          </w:p>
          <w:p>
            <w:pPr>
              <w:tabs>
                <w:tab w:val="left" w:pos="0"/>
              </w:tabs>
              <w:spacing w:line="360" w:lineRule="auto"/>
              <w:ind w:firstLine="480" w:firstLineChars="200"/>
              <w:rPr>
                <w:b/>
                <w:color w:val="000000"/>
                <w:sz w:val="24"/>
              </w:rPr>
            </w:pPr>
            <w:r>
              <w:rPr>
                <w:color w:val="000000"/>
                <w:sz w:val="24"/>
              </w:rPr>
              <w:t>项目营运期产生的一般固废统一收集，分类存放，委托客户回收或厂家处理；危废分类收集，安全暂存，定期委托资质单位拉运处理；生活垃圾由环卫部门统一收集处理，不会造成二次污染问题。项目固废处置情况见下表。</w:t>
            </w:r>
          </w:p>
          <w:p>
            <w:pPr>
              <w:snapToGrid w:val="0"/>
              <w:spacing w:before="60"/>
              <w:jc w:val="center"/>
              <w:rPr>
                <w:b/>
                <w:color w:val="000000"/>
                <w:sz w:val="24"/>
              </w:rPr>
            </w:pPr>
            <w:r>
              <w:rPr>
                <w:b/>
                <w:color w:val="000000"/>
                <w:sz w:val="24"/>
              </w:rPr>
              <w:t>表4-24  建设项目固体废物利用处置方式评价表</w:t>
            </w:r>
          </w:p>
          <w:tbl>
            <w:tblPr>
              <w:tblStyle w:val="20"/>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0"/>
              <w:gridCol w:w="1690"/>
              <w:gridCol w:w="1563"/>
              <w:gridCol w:w="900"/>
              <w:gridCol w:w="1681"/>
              <w:gridCol w:w="1225"/>
              <w:gridCol w:w="12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397" w:type="pct"/>
                  <w:vAlign w:val="center"/>
                </w:tcPr>
                <w:p>
                  <w:pPr>
                    <w:tabs>
                      <w:tab w:val="left" w:pos="0"/>
                    </w:tabs>
                    <w:adjustRightInd w:val="0"/>
                    <w:snapToGrid w:val="0"/>
                    <w:jc w:val="center"/>
                    <w:textAlignment w:val="baseline"/>
                    <w:rPr>
                      <w:b/>
                      <w:color w:val="000000"/>
                      <w:spacing w:val="4"/>
                    </w:rPr>
                  </w:pPr>
                  <w:r>
                    <w:rPr>
                      <w:b/>
                      <w:color w:val="000000"/>
                      <w:spacing w:val="4"/>
                    </w:rPr>
                    <w:t>序号</w:t>
                  </w:r>
                </w:p>
              </w:tc>
              <w:tc>
                <w:tcPr>
                  <w:tcW w:w="932" w:type="pct"/>
                  <w:vAlign w:val="center"/>
                </w:tcPr>
                <w:p>
                  <w:pPr>
                    <w:tabs>
                      <w:tab w:val="left" w:pos="0"/>
                    </w:tabs>
                    <w:adjustRightInd w:val="0"/>
                    <w:snapToGrid w:val="0"/>
                    <w:jc w:val="center"/>
                    <w:textAlignment w:val="baseline"/>
                    <w:rPr>
                      <w:b/>
                      <w:color w:val="000000"/>
                      <w:spacing w:val="4"/>
                    </w:rPr>
                  </w:pPr>
                  <w:r>
                    <w:rPr>
                      <w:b/>
                      <w:color w:val="000000"/>
                      <w:spacing w:val="4"/>
                    </w:rPr>
                    <w:t>固体废物名称</w:t>
                  </w:r>
                </w:p>
              </w:tc>
              <w:tc>
                <w:tcPr>
                  <w:tcW w:w="862" w:type="pct"/>
                  <w:vAlign w:val="center"/>
                </w:tcPr>
                <w:p>
                  <w:pPr>
                    <w:tabs>
                      <w:tab w:val="left" w:pos="0"/>
                    </w:tabs>
                    <w:adjustRightInd w:val="0"/>
                    <w:snapToGrid w:val="0"/>
                    <w:jc w:val="center"/>
                    <w:textAlignment w:val="baseline"/>
                    <w:rPr>
                      <w:b/>
                      <w:color w:val="000000"/>
                      <w:spacing w:val="4"/>
                    </w:rPr>
                  </w:pPr>
                  <w:r>
                    <w:rPr>
                      <w:b/>
                      <w:color w:val="000000"/>
                      <w:spacing w:val="4"/>
                    </w:rPr>
                    <w:t>产生工序</w:t>
                  </w:r>
                </w:p>
              </w:tc>
              <w:tc>
                <w:tcPr>
                  <w:tcW w:w="496" w:type="pct"/>
                  <w:vAlign w:val="center"/>
                </w:tcPr>
                <w:p>
                  <w:pPr>
                    <w:tabs>
                      <w:tab w:val="left" w:pos="0"/>
                    </w:tabs>
                    <w:adjustRightInd w:val="0"/>
                    <w:snapToGrid w:val="0"/>
                    <w:jc w:val="center"/>
                    <w:textAlignment w:val="baseline"/>
                    <w:rPr>
                      <w:b/>
                      <w:color w:val="000000"/>
                      <w:spacing w:val="4"/>
                    </w:rPr>
                  </w:pPr>
                  <w:r>
                    <w:rPr>
                      <w:b/>
                      <w:color w:val="000000"/>
                      <w:spacing w:val="4"/>
                    </w:rPr>
                    <w:t>属性</w:t>
                  </w:r>
                </w:p>
              </w:tc>
              <w:tc>
                <w:tcPr>
                  <w:tcW w:w="927" w:type="pct"/>
                  <w:vAlign w:val="center"/>
                </w:tcPr>
                <w:p>
                  <w:pPr>
                    <w:tabs>
                      <w:tab w:val="left" w:pos="0"/>
                    </w:tabs>
                    <w:adjustRightInd w:val="0"/>
                    <w:snapToGrid w:val="0"/>
                    <w:jc w:val="center"/>
                    <w:textAlignment w:val="baseline"/>
                    <w:rPr>
                      <w:b/>
                      <w:color w:val="000000"/>
                      <w:spacing w:val="4"/>
                    </w:rPr>
                  </w:pPr>
                  <w:r>
                    <w:rPr>
                      <w:b/>
                      <w:color w:val="000000"/>
                      <w:spacing w:val="4"/>
                    </w:rPr>
                    <w:t>废物代码</w:t>
                  </w:r>
                </w:p>
              </w:tc>
              <w:tc>
                <w:tcPr>
                  <w:tcW w:w="675" w:type="pct"/>
                  <w:vAlign w:val="center"/>
                </w:tcPr>
                <w:p>
                  <w:pPr>
                    <w:tabs>
                      <w:tab w:val="left" w:pos="0"/>
                    </w:tabs>
                    <w:adjustRightInd w:val="0"/>
                    <w:snapToGrid w:val="0"/>
                    <w:jc w:val="center"/>
                    <w:textAlignment w:val="baseline"/>
                    <w:rPr>
                      <w:b/>
                      <w:color w:val="000000"/>
                      <w:spacing w:val="4"/>
                    </w:rPr>
                  </w:pPr>
                  <w:r>
                    <w:rPr>
                      <w:b/>
                      <w:color w:val="000000"/>
                      <w:spacing w:val="4"/>
                    </w:rPr>
                    <w:t>产生量</w:t>
                  </w:r>
                </w:p>
                <w:p>
                  <w:pPr>
                    <w:tabs>
                      <w:tab w:val="left" w:pos="0"/>
                    </w:tabs>
                    <w:adjustRightInd w:val="0"/>
                    <w:snapToGrid w:val="0"/>
                    <w:jc w:val="center"/>
                    <w:textAlignment w:val="baseline"/>
                    <w:rPr>
                      <w:b/>
                      <w:color w:val="000000"/>
                      <w:spacing w:val="4"/>
                    </w:rPr>
                  </w:pPr>
                  <w:r>
                    <w:rPr>
                      <w:b/>
                      <w:color w:val="000000"/>
                      <w:spacing w:val="4"/>
                    </w:rPr>
                    <w:t>（t/a）</w:t>
                  </w:r>
                </w:p>
              </w:tc>
              <w:tc>
                <w:tcPr>
                  <w:tcW w:w="708" w:type="pct"/>
                  <w:vAlign w:val="center"/>
                </w:tcPr>
                <w:p>
                  <w:pPr>
                    <w:tabs>
                      <w:tab w:val="left" w:pos="0"/>
                    </w:tabs>
                    <w:adjustRightInd w:val="0"/>
                    <w:snapToGrid w:val="0"/>
                    <w:jc w:val="center"/>
                    <w:textAlignment w:val="baseline"/>
                    <w:rPr>
                      <w:b/>
                      <w:color w:val="000000"/>
                      <w:spacing w:val="4"/>
                    </w:rPr>
                  </w:pPr>
                  <w:r>
                    <w:rPr>
                      <w:b/>
                      <w:color w:val="000000"/>
                      <w:spacing w:val="4"/>
                    </w:rPr>
                    <w:t>利用处置方式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trPr>
              <w:tc>
                <w:tcPr>
                  <w:tcW w:w="397" w:type="pct"/>
                  <w:vAlign w:val="center"/>
                </w:tcPr>
                <w:p>
                  <w:pPr>
                    <w:tabs>
                      <w:tab w:val="left" w:pos="0"/>
                    </w:tabs>
                    <w:adjustRightInd w:val="0"/>
                    <w:snapToGrid w:val="0"/>
                    <w:jc w:val="center"/>
                    <w:textAlignment w:val="baseline"/>
                    <w:rPr>
                      <w:color w:val="000000"/>
                      <w:spacing w:val="4"/>
                    </w:rPr>
                  </w:pPr>
                  <w:r>
                    <w:rPr>
                      <w:color w:val="000000"/>
                      <w:spacing w:val="4"/>
                      <w:szCs w:val="21"/>
                    </w:rPr>
                    <w:t>1</w:t>
                  </w:r>
                </w:p>
              </w:tc>
              <w:tc>
                <w:tcPr>
                  <w:tcW w:w="932" w:type="pct"/>
                  <w:vAlign w:val="center"/>
                </w:tcPr>
                <w:p>
                  <w:pPr>
                    <w:tabs>
                      <w:tab w:val="left" w:pos="0"/>
                    </w:tabs>
                    <w:adjustRightInd w:val="0"/>
                    <w:snapToGrid w:val="0"/>
                    <w:jc w:val="center"/>
                    <w:textAlignment w:val="baseline"/>
                    <w:rPr>
                      <w:color w:val="000000"/>
                      <w:spacing w:val="4"/>
                    </w:rPr>
                  </w:pPr>
                  <w:r>
                    <w:rPr>
                      <w:color w:val="000000"/>
                      <w:spacing w:val="4"/>
                    </w:rPr>
                    <w:t>一般废包装</w:t>
                  </w:r>
                </w:p>
              </w:tc>
              <w:tc>
                <w:tcPr>
                  <w:tcW w:w="862" w:type="pct"/>
                  <w:vAlign w:val="center"/>
                </w:tcPr>
                <w:p>
                  <w:pPr>
                    <w:tabs>
                      <w:tab w:val="left" w:pos="0"/>
                    </w:tabs>
                    <w:adjustRightInd w:val="0"/>
                    <w:snapToGrid w:val="0"/>
                    <w:jc w:val="center"/>
                    <w:textAlignment w:val="baseline"/>
                    <w:rPr>
                      <w:color w:val="000000"/>
                      <w:spacing w:val="4"/>
                    </w:rPr>
                  </w:pPr>
                  <w:r>
                    <w:rPr>
                      <w:color w:val="000000"/>
                      <w:spacing w:val="4"/>
                      <w:szCs w:val="22"/>
                    </w:rPr>
                    <w:t>包装</w:t>
                  </w:r>
                </w:p>
              </w:tc>
              <w:tc>
                <w:tcPr>
                  <w:tcW w:w="496" w:type="pct"/>
                  <w:vAlign w:val="center"/>
                </w:tcPr>
                <w:p>
                  <w:pPr>
                    <w:tabs>
                      <w:tab w:val="left" w:pos="0"/>
                    </w:tabs>
                    <w:adjustRightInd w:val="0"/>
                    <w:snapToGrid w:val="0"/>
                    <w:jc w:val="center"/>
                    <w:textAlignment w:val="baseline"/>
                    <w:rPr>
                      <w:color w:val="000000"/>
                      <w:spacing w:val="4"/>
                    </w:rPr>
                  </w:pPr>
                  <w:r>
                    <w:rPr>
                      <w:color w:val="000000"/>
                      <w:spacing w:val="4"/>
                    </w:rPr>
                    <w:t>一般固废</w:t>
                  </w:r>
                </w:p>
              </w:tc>
              <w:tc>
                <w:tcPr>
                  <w:tcW w:w="927" w:type="pct"/>
                  <w:vAlign w:val="center"/>
                </w:tcPr>
                <w:p>
                  <w:pPr>
                    <w:tabs>
                      <w:tab w:val="left" w:pos="0"/>
                    </w:tabs>
                    <w:adjustRightInd w:val="0"/>
                    <w:snapToGrid w:val="0"/>
                    <w:jc w:val="center"/>
                    <w:textAlignment w:val="baseline"/>
                    <w:rPr>
                      <w:color w:val="000000"/>
                      <w:spacing w:val="4"/>
                      <w:szCs w:val="22"/>
                    </w:rPr>
                  </w:pPr>
                  <w:r>
                    <w:rPr>
                      <w:color w:val="000000"/>
                      <w:spacing w:val="4"/>
                      <w:szCs w:val="21"/>
                    </w:rPr>
                    <w:t>900-999-99</w:t>
                  </w:r>
                </w:p>
              </w:tc>
              <w:tc>
                <w:tcPr>
                  <w:tcW w:w="675" w:type="pct"/>
                  <w:tcBorders>
                    <w:bottom w:val="single" w:color="auto" w:sz="4" w:space="0"/>
                  </w:tcBorders>
                  <w:vAlign w:val="center"/>
                </w:tcPr>
                <w:p>
                  <w:pPr>
                    <w:tabs>
                      <w:tab w:val="left" w:pos="0"/>
                    </w:tabs>
                    <w:adjustRightInd w:val="0"/>
                    <w:snapToGrid w:val="0"/>
                    <w:jc w:val="center"/>
                    <w:textAlignment w:val="baseline"/>
                    <w:rPr>
                      <w:color w:val="000000"/>
                      <w:spacing w:val="4"/>
                    </w:rPr>
                  </w:pPr>
                  <w:r>
                    <w:rPr>
                      <w:color w:val="000000"/>
                      <w:spacing w:val="4"/>
                    </w:rPr>
                    <w:t>1.5</w:t>
                  </w:r>
                </w:p>
              </w:tc>
              <w:tc>
                <w:tcPr>
                  <w:tcW w:w="708" w:type="pct"/>
                  <w:vMerge w:val="restart"/>
                  <w:vAlign w:val="center"/>
                </w:tcPr>
                <w:p>
                  <w:pPr>
                    <w:tabs>
                      <w:tab w:val="left" w:pos="0"/>
                    </w:tabs>
                    <w:adjustRightInd w:val="0"/>
                    <w:snapToGrid w:val="0"/>
                    <w:jc w:val="center"/>
                    <w:textAlignment w:val="baseline"/>
                    <w:rPr>
                      <w:color w:val="000000"/>
                      <w:spacing w:val="4"/>
                    </w:rPr>
                  </w:pPr>
                  <w:r>
                    <w:rPr>
                      <w:color w:val="000000"/>
                      <w:szCs w:val="21"/>
                    </w:rPr>
                    <w:t>综合利用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397" w:type="pct"/>
                  <w:vAlign w:val="center"/>
                </w:tcPr>
                <w:p>
                  <w:pPr>
                    <w:tabs>
                      <w:tab w:val="left" w:pos="0"/>
                    </w:tabs>
                    <w:adjustRightInd w:val="0"/>
                    <w:snapToGrid w:val="0"/>
                    <w:jc w:val="center"/>
                    <w:textAlignment w:val="baseline"/>
                    <w:rPr>
                      <w:color w:val="000000"/>
                      <w:spacing w:val="4"/>
                    </w:rPr>
                  </w:pPr>
                  <w:r>
                    <w:rPr>
                      <w:color w:val="000000"/>
                      <w:spacing w:val="4"/>
                    </w:rPr>
                    <w:t>2</w:t>
                  </w:r>
                </w:p>
              </w:tc>
              <w:tc>
                <w:tcPr>
                  <w:tcW w:w="932" w:type="pct"/>
                  <w:vAlign w:val="center"/>
                </w:tcPr>
                <w:p>
                  <w:pPr>
                    <w:tabs>
                      <w:tab w:val="left" w:pos="0"/>
                    </w:tabs>
                    <w:adjustRightInd w:val="0"/>
                    <w:snapToGrid w:val="0"/>
                    <w:jc w:val="center"/>
                    <w:textAlignment w:val="baseline"/>
                    <w:rPr>
                      <w:color w:val="000000"/>
                      <w:spacing w:val="4"/>
                    </w:rPr>
                  </w:pPr>
                  <w:r>
                    <w:rPr>
                      <w:color w:val="000000"/>
                      <w:szCs w:val="21"/>
                    </w:rPr>
                    <w:t>废锡膏</w:t>
                  </w:r>
                </w:p>
              </w:tc>
              <w:tc>
                <w:tcPr>
                  <w:tcW w:w="862" w:type="pct"/>
                  <w:vAlign w:val="center"/>
                </w:tcPr>
                <w:p>
                  <w:pPr>
                    <w:tabs>
                      <w:tab w:val="left" w:pos="0"/>
                    </w:tabs>
                    <w:adjustRightInd w:val="0"/>
                    <w:snapToGrid w:val="0"/>
                    <w:jc w:val="center"/>
                    <w:textAlignment w:val="baseline"/>
                    <w:rPr>
                      <w:color w:val="000000"/>
                      <w:spacing w:val="4"/>
                      <w:szCs w:val="22"/>
                    </w:rPr>
                  </w:pPr>
                  <w:r>
                    <w:rPr>
                      <w:color w:val="000000"/>
                      <w:szCs w:val="21"/>
                    </w:rPr>
                    <w:t>锡膏印刷</w:t>
                  </w:r>
                </w:p>
              </w:tc>
              <w:tc>
                <w:tcPr>
                  <w:tcW w:w="496" w:type="pct"/>
                  <w:vAlign w:val="center"/>
                </w:tcPr>
                <w:p>
                  <w:pPr>
                    <w:tabs>
                      <w:tab w:val="left" w:pos="0"/>
                    </w:tabs>
                    <w:adjustRightInd w:val="0"/>
                    <w:snapToGrid w:val="0"/>
                    <w:jc w:val="center"/>
                    <w:textAlignment w:val="baseline"/>
                    <w:rPr>
                      <w:color w:val="000000"/>
                      <w:spacing w:val="4"/>
                    </w:rPr>
                  </w:pPr>
                  <w:r>
                    <w:rPr>
                      <w:color w:val="000000"/>
                      <w:spacing w:val="4"/>
                    </w:rPr>
                    <w:t>一般固废</w:t>
                  </w:r>
                </w:p>
              </w:tc>
              <w:tc>
                <w:tcPr>
                  <w:tcW w:w="927" w:type="pct"/>
                  <w:vAlign w:val="center"/>
                </w:tcPr>
                <w:p>
                  <w:pPr>
                    <w:widowControl/>
                    <w:jc w:val="center"/>
                    <w:rPr>
                      <w:color w:val="000000"/>
                      <w:kern w:val="0"/>
                      <w:szCs w:val="21"/>
                    </w:rPr>
                  </w:pPr>
                  <w:r>
                    <w:rPr>
                      <w:color w:val="000000"/>
                      <w:kern w:val="0"/>
                      <w:szCs w:val="21"/>
                    </w:rPr>
                    <w:t>397-001-49</w:t>
                  </w:r>
                </w:p>
              </w:tc>
              <w:tc>
                <w:tcPr>
                  <w:tcW w:w="675" w:type="pct"/>
                  <w:vAlign w:val="center"/>
                </w:tcPr>
                <w:p>
                  <w:pPr>
                    <w:tabs>
                      <w:tab w:val="left" w:pos="0"/>
                    </w:tabs>
                    <w:adjustRightInd w:val="0"/>
                    <w:snapToGrid w:val="0"/>
                    <w:jc w:val="center"/>
                    <w:textAlignment w:val="baseline"/>
                    <w:rPr>
                      <w:color w:val="000000"/>
                      <w:spacing w:val="4"/>
                    </w:rPr>
                  </w:pPr>
                  <w:r>
                    <w:rPr>
                      <w:rFonts w:hint="eastAsia"/>
                      <w:color w:val="000000"/>
                      <w:spacing w:val="4"/>
                    </w:rPr>
                    <w:t>0.05</w:t>
                  </w:r>
                </w:p>
              </w:tc>
              <w:tc>
                <w:tcPr>
                  <w:tcW w:w="708"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397"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3</w:t>
                  </w:r>
                </w:p>
              </w:tc>
              <w:tc>
                <w:tcPr>
                  <w:tcW w:w="932" w:type="pct"/>
                  <w:vAlign w:val="center"/>
                </w:tcPr>
                <w:p>
                  <w:pPr>
                    <w:pStyle w:val="61"/>
                    <w:rPr>
                      <w:color w:val="000000"/>
                      <w:spacing w:val="4"/>
                    </w:rPr>
                  </w:pPr>
                  <w:r>
                    <w:rPr>
                      <w:rFonts w:hint="eastAsia"/>
                      <w:color w:val="000000"/>
                      <w:szCs w:val="21"/>
                    </w:rPr>
                    <w:t>清洗废液</w:t>
                  </w:r>
                </w:p>
              </w:tc>
              <w:tc>
                <w:tcPr>
                  <w:tcW w:w="862" w:type="pct"/>
                  <w:vAlign w:val="center"/>
                </w:tcPr>
                <w:p>
                  <w:pPr>
                    <w:pStyle w:val="61"/>
                    <w:rPr>
                      <w:color w:val="000000"/>
                      <w:spacing w:val="4"/>
                      <w:szCs w:val="22"/>
                    </w:rPr>
                  </w:pPr>
                  <w:r>
                    <w:rPr>
                      <w:rFonts w:hint="eastAsia"/>
                      <w:color w:val="000000"/>
                      <w:szCs w:val="21"/>
                      <w:lang w:eastAsia="zh-CN"/>
                    </w:rPr>
                    <w:t>网版</w:t>
                  </w:r>
                  <w:r>
                    <w:rPr>
                      <w:rFonts w:hint="eastAsia"/>
                      <w:color w:val="000000"/>
                      <w:szCs w:val="21"/>
                    </w:rPr>
                    <w:t>印刷</w:t>
                  </w:r>
                </w:p>
              </w:tc>
              <w:tc>
                <w:tcPr>
                  <w:tcW w:w="496" w:type="pct"/>
                  <w:vAlign w:val="center"/>
                </w:tcPr>
                <w:p>
                  <w:pPr>
                    <w:tabs>
                      <w:tab w:val="left" w:pos="0"/>
                    </w:tabs>
                    <w:adjustRightInd w:val="0"/>
                    <w:snapToGrid w:val="0"/>
                    <w:jc w:val="center"/>
                    <w:textAlignment w:val="baseline"/>
                    <w:rPr>
                      <w:color w:val="000000"/>
                      <w:spacing w:val="4"/>
                    </w:rPr>
                  </w:pPr>
                  <w:r>
                    <w:rPr>
                      <w:color w:val="000000"/>
                      <w:spacing w:val="4"/>
                      <w:szCs w:val="21"/>
                    </w:rPr>
                    <w:t>危险废物</w:t>
                  </w:r>
                </w:p>
              </w:tc>
              <w:tc>
                <w:tcPr>
                  <w:tcW w:w="927" w:type="pct"/>
                  <w:vAlign w:val="center"/>
                </w:tcPr>
                <w:p>
                  <w:pPr>
                    <w:widowControl/>
                    <w:jc w:val="center"/>
                    <w:rPr>
                      <w:color w:val="000000"/>
                      <w:kern w:val="0"/>
                      <w:szCs w:val="21"/>
                    </w:rPr>
                  </w:pPr>
                  <w:r>
                    <w:rPr>
                      <w:color w:val="000000"/>
                      <w:kern w:val="0"/>
                      <w:szCs w:val="21"/>
                    </w:rPr>
                    <w:t>HW</w:t>
                  </w:r>
                  <w:r>
                    <w:rPr>
                      <w:rFonts w:hint="eastAsia"/>
                      <w:color w:val="000000"/>
                      <w:kern w:val="0"/>
                      <w:szCs w:val="21"/>
                    </w:rPr>
                    <w:t>06</w:t>
                  </w:r>
                </w:p>
                <w:p>
                  <w:pPr>
                    <w:widowControl/>
                    <w:jc w:val="center"/>
                    <w:rPr>
                      <w:color w:val="000000"/>
                      <w:kern w:val="0"/>
                      <w:szCs w:val="21"/>
                    </w:rPr>
                  </w:pPr>
                  <w:r>
                    <w:rPr>
                      <w:color w:val="000000"/>
                      <w:kern w:val="0"/>
                      <w:szCs w:val="21"/>
                    </w:rPr>
                    <w:t>900-</w:t>
                  </w:r>
                  <w:r>
                    <w:rPr>
                      <w:rFonts w:hint="eastAsia"/>
                      <w:color w:val="000000"/>
                      <w:kern w:val="0"/>
                      <w:szCs w:val="21"/>
                    </w:rPr>
                    <w:t>404</w:t>
                  </w:r>
                  <w:r>
                    <w:rPr>
                      <w:color w:val="000000"/>
                      <w:kern w:val="0"/>
                      <w:szCs w:val="21"/>
                    </w:rPr>
                    <w:t>-</w:t>
                  </w:r>
                  <w:r>
                    <w:rPr>
                      <w:rFonts w:hint="eastAsia"/>
                      <w:color w:val="000000"/>
                      <w:kern w:val="0"/>
                      <w:szCs w:val="21"/>
                    </w:rPr>
                    <w:t>06</w:t>
                  </w:r>
                </w:p>
              </w:tc>
              <w:tc>
                <w:tcPr>
                  <w:tcW w:w="675" w:type="pct"/>
                  <w:vAlign w:val="center"/>
                </w:tcPr>
                <w:p>
                  <w:pPr>
                    <w:tabs>
                      <w:tab w:val="left" w:pos="0"/>
                    </w:tabs>
                    <w:adjustRightInd w:val="0"/>
                    <w:snapToGrid w:val="0"/>
                    <w:jc w:val="center"/>
                    <w:textAlignment w:val="baseline"/>
                    <w:rPr>
                      <w:color w:val="000000"/>
                      <w:spacing w:val="4"/>
                    </w:rPr>
                  </w:pPr>
                  <w:r>
                    <w:rPr>
                      <w:rFonts w:hint="eastAsia"/>
                      <w:color w:val="000000"/>
                      <w:spacing w:val="4"/>
                    </w:rPr>
                    <w:t>0.172</w:t>
                  </w:r>
                </w:p>
              </w:tc>
              <w:tc>
                <w:tcPr>
                  <w:tcW w:w="708" w:type="pct"/>
                  <w:vMerge w:val="restart"/>
                  <w:vAlign w:val="center"/>
                </w:tcPr>
                <w:p>
                  <w:pPr>
                    <w:tabs>
                      <w:tab w:val="left" w:pos="0"/>
                    </w:tabs>
                    <w:adjustRightInd w:val="0"/>
                    <w:snapToGrid w:val="0"/>
                    <w:jc w:val="center"/>
                    <w:textAlignment w:val="baseline"/>
                    <w:rPr>
                      <w:color w:val="000000"/>
                      <w:spacing w:val="4"/>
                    </w:rPr>
                  </w:pPr>
                  <w:r>
                    <w:rPr>
                      <w:color w:val="000000"/>
                      <w:spacing w:val="4"/>
                      <w:szCs w:val="21"/>
                    </w:rPr>
                    <w:t>委托资质单位处置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397"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4</w:t>
                  </w:r>
                </w:p>
              </w:tc>
              <w:tc>
                <w:tcPr>
                  <w:tcW w:w="932" w:type="pct"/>
                  <w:vAlign w:val="center"/>
                </w:tcPr>
                <w:p>
                  <w:pPr>
                    <w:pStyle w:val="61"/>
                    <w:rPr>
                      <w:color w:val="000000"/>
                      <w:spacing w:val="4"/>
                    </w:rPr>
                  </w:pPr>
                  <w:r>
                    <w:rPr>
                      <w:color w:val="000000"/>
                      <w:szCs w:val="21"/>
                    </w:rPr>
                    <w:t>废擦拭纸</w:t>
                  </w:r>
                </w:p>
              </w:tc>
              <w:tc>
                <w:tcPr>
                  <w:tcW w:w="862" w:type="pct"/>
                  <w:vAlign w:val="center"/>
                </w:tcPr>
                <w:p>
                  <w:pPr>
                    <w:pStyle w:val="61"/>
                    <w:rPr>
                      <w:color w:val="000000"/>
                      <w:spacing w:val="4"/>
                      <w:highlight w:val="yellow"/>
                    </w:rPr>
                  </w:pPr>
                  <w:r>
                    <w:rPr>
                      <w:rFonts w:hint="eastAsia"/>
                      <w:color w:val="000000"/>
                      <w:szCs w:val="21"/>
                    </w:rPr>
                    <w:t>清除涂覆</w:t>
                  </w:r>
                </w:p>
              </w:tc>
              <w:tc>
                <w:tcPr>
                  <w:tcW w:w="496" w:type="pct"/>
                  <w:vAlign w:val="center"/>
                </w:tcPr>
                <w:p>
                  <w:pPr>
                    <w:tabs>
                      <w:tab w:val="left" w:pos="0"/>
                    </w:tabs>
                    <w:adjustRightInd w:val="0"/>
                    <w:snapToGrid w:val="0"/>
                    <w:jc w:val="center"/>
                    <w:textAlignment w:val="baseline"/>
                    <w:rPr>
                      <w:color w:val="000000"/>
                      <w:spacing w:val="4"/>
                    </w:rPr>
                  </w:pPr>
                  <w:r>
                    <w:rPr>
                      <w:color w:val="000000"/>
                      <w:spacing w:val="4"/>
                      <w:szCs w:val="21"/>
                    </w:rPr>
                    <w:t>危险废物</w:t>
                  </w:r>
                </w:p>
              </w:tc>
              <w:tc>
                <w:tcPr>
                  <w:tcW w:w="927" w:type="pct"/>
                  <w:vAlign w:val="center"/>
                </w:tcPr>
                <w:p>
                  <w:pPr>
                    <w:widowControl/>
                    <w:jc w:val="center"/>
                    <w:rPr>
                      <w:color w:val="000000"/>
                      <w:kern w:val="0"/>
                      <w:szCs w:val="21"/>
                    </w:rPr>
                  </w:pPr>
                  <w:r>
                    <w:rPr>
                      <w:color w:val="000000"/>
                      <w:kern w:val="0"/>
                      <w:szCs w:val="21"/>
                    </w:rPr>
                    <w:t>HW49</w:t>
                  </w:r>
                </w:p>
                <w:p>
                  <w:pPr>
                    <w:widowControl/>
                    <w:jc w:val="center"/>
                    <w:rPr>
                      <w:snapToGrid w:val="0"/>
                      <w:color w:val="000000"/>
                      <w:spacing w:val="4"/>
                    </w:rPr>
                  </w:pPr>
                  <w:r>
                    <w:rPr>
                      <w:color w:val="000000"/>
                      <w:kern w:val="0"/>
                      <w:szCs w:val="21"/>
                    </w:rPr>
                    <w:t>900-041-49</w:t>
                  </w:r>
                </w:p>
              </w:tc>
              <w:tc>
                <w:tcPr>
                  <w:tcW w:w="675" w:type="pct"/>
                  <w:vAlign w:val="center"/>
                </w:tcPr>
                <w:p>
                  <w:pPr>
                    <w:tabs>
                      <w:tab w:val="left" w:pos="0"/>
                    </w:tabs>
                    <w:adjustRightInd w:val="0"/>
                    <w:snapToGrid w:val="0"/>
                    <w:jc w:val="center"/>
                    <w:textAlignment w:val="baseline"/>
                    <w:rPr>
                      <w:rFonts w:hint="eastAsia" w:eastAsia="宋体"/>
                      <w:color w:val="000000"/>
                      <w:spacing w:val="4"/>
                      <w:lang w:eastAsia="zh-CN"/>
                    </w:rPr>
                  </w:pPr>
                  <w:r>
                    <w:rPr>
                      <w:rFonts w:hint="eastAsia"/>
                      <w:color w:val="000000"/>
                      <w:spacing w:val="4"/>
                    </w:rPr>
                    <w:t>0.</w:t>
                  </w:r>
                  <w:r>
                    <w:rPr>
                      <w:rFonts w:hint="eastAsia"/>
                      <w:color w:val="000000"/>
                      <w:spacing w:val="4"/>
                      <w:lang w:val="en-US" w:eastAsia="zh-CN"/>
                    </w:rPr>
                    <w:t>1</w:t>
                  </w:r>
                </w:p>
              </w:tc>
              <w:tc>
                <w:tcPr>
                  <w:tcW w:w="708"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trPr>
              <w:tc>
                <w:tcPr>
                  <w:tcW w:w="397"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5</w:t>
                  </w:r>
                </w:p>
              </w:tc>
              <w:tc>
                <w:tcPr>
                  <w:tcW w:w="932" w:type="pct"/>
                  <w:vAlign w:val="center"/>
                </w:tcPr>
                <w:p>
                  <w:pPr>
                    <w:pStyle w:val="61"/>
                    <w:rPr>
                      <w:color w:val="000000"/>
                      <w:spacing w:val="4"/>
                    </w:rPr>
                  </w:pPr>
                  <w:r>
                    <w:rPr>
                      <w:rFonts w:hint="eastAsia"/>
                      <w:color w:val="000000"/>
                      <w:szCs w:val="21"/>
                    </w:rPr>
                    <w:t>废包装桶</w:t>
                  </w:r>
                </w:p>
              </w:tc>
              <w:tc>
                <w:tcPr>
                  <w:tcW w:w="862" w:type="pct"/>
                  <w:vAlign w:val="center"/>
                </w:tcPr>
                <w:p>
                  <w:pPr>
                    <w:pStyle w:val="61"/>
                    <w:rPr>
                      <w:color w:val="000000"/>
                      <w:spacing w:val="4"/>
                      <w:szCs w:val="22"/>
                    </w:rPr>
                  </w:pPr>
                  <w:r>
                    <w:rPr>
                      <w:rFonts w:hint="eastAsia"/>
                      <w:color w:val="000000"/>
                      <w:szCs w:val="21"/>
                    </w:rPr>
                    <w:t>化学品原辅料包装</w:t>
                  </w:r>
                </w:p>
              </w:tc>
              <w:tc>
                <w:tcPr>
                  <w:tcW w:w="496" w:type="pct"/>
                  <w:vAlign w:val="center"/>
                </w:tcPr>
                <w:p>
                  <w:pPr>
                    <w:adjustRightInd w:val="0"/>
                    <w:snapToGrid w:val="0"/>
                    <w:jc w:val="center"/>
                    <w:textAlignment w:val="baseline"/>
                    <w:rPr>
                      <w:color w:val="000000"/>
                      <w:spacing w:val="4"/>
                    </w:rPr>
                  </w:pPr>
                  <w:r>
                    <w:rPr>
                      <w:color w:val="000000"/>
                      <w:spacing w:val="4"/>
                      <w:szCs w:val="21"/>
                    </w:rPr>
                    <w:t>危险废物</w:t>
                  </w:r>
                </w:p>
              </w:tc>
              <w:tc>
                <w:tcPr>
                  <w:tcW w:w="927" w:type="pct"/>
                  <w:vAlign w:val="center"/>
                </w:tcPr>
                <w:p>
                  <w:pPr>
                    <w:widowControl/>
                    <w:jc w:val="center"/>
                    <w:rPr>
                      <w:color w:val="000000"/>
                      <w:kern w:val="0"/>
                      <w:szCs w:val="21"/>
                    </w:rPr>
                  </w:pPr>
                  <w:r>
                    <w:rPr>
                      <w:color w:val="000000"/>
                      <w:kern w:val="0"/>
                      <w:szCs w:val="21"/>
                    </w:rPr>
                    <w:t>HW49</w:t>
                  </w:r>
                </w:p>
                <w:p>
                  <w:pPr>
                    <w:widowControl/>
                    <w:jc w:val="center"/>
                    <w:rPr>
                      <w:color w:val="000000"/>
                      <w:spacing w:val="4"/>
                      <w:szCs w:val="22"/>
                    </w:rPr>
                  </w:pPr>
                  <w:r>
                    <w:rPr>
                      <w:color w:val="000000"/>
                      <w:kern w:val="0"/>
                      <w:szCs w:val="21"/>
                    </w:rPr>
                    <w:t>900-041-49</w:t>
                  </w:r>
                </w:p>
              </w:tc>
              <w:tc>
                <w:tcPr>
                  <w:tcW w:w="675" w:type="pct"/>
                  <w:vAlign w:val="center"/>
                </w:tcPr>
                <w:p>
                  <w:pPr>
                    <w:tabs>
                      <w:tab w:val="left" w:pos="0"/>
                    </w:tabs>
                    <w:adjustRightInd w:val="0"/>
                    <w:snapToGrid w:val="0"/>
                    <w:jc w:val="center"/>
                    <w:textAlignment w:val="baseline"/>
                    <w:rPr>
                      <w:rFonts w:hint="default" w:eastAsia="宋体"/>
                      <w:color w:val="000000"/>
                      <w:spacing w:val="4"/>
                      <w:lang w:val="en-US" w:eastAsia="zh-CN"/>
                    </w:rPr>
                  </w:pPr>
                  <w:r>
                    <w:rPr>
                      <w:rFonts w:hint="eastAsia"/>
                      <w:color w:val="000000"/>
                      <w:spacing w:val="4"/>
                      <w:lang w:val="en-US" w:eastAsia="zh-CN"/>
                    </w:rPr>
                    <w:t>0.4</w:t>
                  </w:r>
                </w:p>
              </w:tc>
              <w:tc>
                <w:tcPr>
                  <w:tcW w:w="708"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trPr>
              <w:tc>
                <w:tcPr>
                  <w:tcW w:w="397" w:type="pct"/>
                  <w:vAlign w:val="center"/>
                </w:tcPr>
                <w:p>
                  <w:pPr>
                    <w:tabs>
                      <w:tab w:val="left" w:pos="0"/>
                    </w:tabs>
                    <w:adjustRightInd w:val="0"/>
                    <w:snapToGrid w:val="0"/>
                    <w:jc w:val="center"/>
                    <w:textAlignment w:val="baseline"/>
                    <w:rPr>
                      <w:rFonts w:hint="eastAsia" w:eastAsia="宋体"/>
                      <w:color w:val="000000"/>
                      <w:spacing w:val="4"/>
                      <w:szCs w:val="21"/>
                      <w:lang w:eastAsia="zh-CN"/>
                    </w:rPr>
                  </w:pPr>
                  <w:r>
                    <w:rPr>
                      <w:rFonts w:hint="eastAsia"/>
                      <w:color w:val="000000"/>
                      <w:spacing w:val="4"/>
                      <w:szCs w:val="21"/>
                      <w:lang w:val="en-US" w:eastAsia="zh-CN"/>
                    </w:rPr>
                    <w:t>6</w:t>
                  </w:r>
                </w:p>
              </w:tc>
              <w:tc>
                <w:tcPr>
                  <w:tcW w:w="932" w:type="pct"/>
                  <w:vAlign w:val="center"/>
                </w:tcPr>
                <w:p>
                  <w:pPr>
                    <w:tabs>
                      <w:tab w:val="left" w:pos="0"/>
                    </w:tabs>
                    <w:adjustRightInd w:val="0"/>
                    <w:snapToGrid w:val="0"/>
                    <w:jc w:val="center"/>
                    <w:textAlignment w:val="baseline"/>
                    <w:rPr>
                      <w:color w:val="000000"/>
                      <w:spacing w:val="4"/>
                      <w:szCs w:val="21"/>
                    </w:rPr>
                  </w:pPr>
                  <w:r>
                    <w:rPr>
                      <w:color w:val="000000"/>
                      <w:spacing w:val="4"/>
                    </w:rPr>
                    <w:t>废活性炭</w:t>
                  </w:r>
                </w:p>
              </w:tc>
              <w:tc>
                <w:tcPr>
                  <w:tcW w:w="862" w:type="pct"/>
                  <w:vAlign w:val="center"/>
                </w:tcPr>
                <w:p>
                  <w:pPr>
                    <w:tabs>
                      <w:tab w:val="left" w:pos="0"/>
                    </w:tabs>
                    <w:adjustRightInd w:val="0"/>
                    <w:snapToGrid w:val="0"/>
                    <w:jc w:val="center"/>
                    <w:textAlignment w:val="baseline"/>
                    <w:rPr>
                      <w:color w:val="000000"/>
                      <w:spacing w:val="4"/>
                      <w:szCs w:val="21"/>
                    </w:rPr>
                  </w:pPr>
                  <w:r>
                    <w:rPr>
                      <w:color w:val="000000"/>
                      <w:spacing w:val="4"/>
                    </w:rPr>
                    <w:t>废气处理</w:t>
                  </w:r>
                </w:p>
              </w:tc>
              <w:tc>
                <w:tcPr>
                  <w:tcW w:w="496" w:type="pct"/>
                  <w:vAlign w:val="center"/>
                </w:tcPr>
                <w:p>
                  <w:pPr>
                    <w:adjustRightInd w:val="0"/>
                    <w:snapToGrid w:val="0"/>
                    <w:jc w:val="center"/>
                    <w:textAlignment w:val="baseline"/>
                    <w:rPr>
                      <w:color w:val="000000"/>
                      <w:spacing w:val="4"/>
                    </w:rPr>
                  </w:pPr>
                  <w:r>
                    <w:rPr>
                      <w:color w:val="000000"/>
                      <w:spacing w:val="4"/>
                      <w:szCs w:val="21"/>
                    </w:rPr>
                    <w:t>危险废物</w:t>
                  </w:r>
                </w:p>
              </w:tc>
              <w:tc>
                <w:tcPr>
                  <w:tcW w:w="927" w:type="pct"/>
                  <w:vAlign w:val="center"/>
                </w:tcPr>
                <w:p>
                  <w:pPr>
                    <w:widowControl/>
                    <w:jc w:val="center"/>
                    <w:rPr>
                      <w:color w:val="000000"/>
                      <w:kern w:val="0"/>
                      <w:szCs w:val="21"/>
                    </w:rPr>
                  </w:pPr>
                  <w:r>
                    <w:rPr>
                      <w:color w:val="000000"/>
                      <w:kern w:val="0"/>
                      <w:szCs w:val="21"/>
                    </w:rPr>
                    <w:t>HW49</w:t>
                  </w:r>
                </w:p>
                <w:p>
                  <w:pPr>
                    <w:widowControl/>
                    <w:jc w:val="center"/>
                    <w:rPr>
                      <w:color w:val="000000"/>
                      <w:spacing w:val="4"/>
                      <w:szCs w:val="21"/>
                    </w:rPr>
                  </w:pPr>
                  <w:r>
                    <w:rPr>
                      <w:color w:val="000000"/>
                      <w:kern w:val="0"/>
                      <w:szCs w:val="21"/>
                    </w:rPr>
                    <w:t>900-039-49</w:t>
                  </w:r>
                </w:p>
              </w:tc>
              <w:tc>
                <w:tcPr>
                  <w:tcW w:w="675" w:type="pct"/>
                  <w:vAlign w:val="center"/>
                </w:tcPr>
                <w:p>
                  <w:pPr>
                    <w:tabs>
                      <w:tab w:val="left" w:pos="0"/>
                    </w:tabs>
                    <w:adjustRightInd w:val="0"/>
                    <w:snapToGrid w:val="0"/>
                    <w:jc w:val="center"/>
                    <w:textAlignment w:val="baseline"/>
                    <w:rPr>
                      <w:color w:val="000000"/>
                      <w:spacing w:val="4"/>
                      <w:szCs w:val="21"/>
                    </w:rPr>
                  </w:pPr>
                  <w:r>
                    <w:rPr>
                      <w:rFonts w:hint="eastAsia"/>
                      <w:color w:val="000000"/>
                      <w:spacing w:val="4"/>
                    </w:rPr>
                    <w:t>6.59</w:t>
                  </w:r>
                </w:p>
              </w:tc>
              <w:tc>
                <w:tcPr>
                  <w:tcW w:w="708" w:type="pct"/>
                  <w:vMerge w:val="continue"/>
                  <w:vAlign w:val="center"/>
                </w:tcPr>
                <w:p>
                  <w:pPr>
                    <w:tabs>
                      <w:tab w:val="left" w:pos="0"/>
                    </w:tabs>
                    <w:adjustRightInd w:val="0"/>
                    <w:snapToGrid w:val="0"/>
                    <w:jc w:val="center"/>
                    <w:textAlignment w:val="baseline"/>
                    <w:rPr>
                      <w:color w:val="000000"/>
                      <w:spacing w:val="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trPr>
              <w:tc>
                <w:tcPr>
                  <w:tcW w:w="397" w:type="pct"/>
                  <w:vAlign w:val="center"/>
                </w:tcPr>
                <w:p>
                  <w:pPr>
                    <w:tabs>
                      <w:tab w:val="left" w:pos="0"/>
                    </w:tabs>
                    <w:adjustRightInd w:val="0"/>
                    <w:snapToGrid w:val="0"/>
                    <w:jc w:val="center"/>
                    <w:textAlignment w:val="baseline"/>
                    <w:rPr>
                      <w:rFonts w:hint="eastAsia" w:eastAsia="宋体"/>
                      <w:color w:val="000000"/>
                      <w:spacing w:val="4"/>
                      <w:szCs w:val="21"/>
                      <w:lang w:eastAsia="zh-CN"/>
                    </w:rPr>
                  </w:pPr>
                  <w:r>
                    <w:rPr>
                      <w:rFonts w:hint="eastAsia"/>
                      <w:color w:val="000000"/>
                      <w:spacing w:val="4"/>
                      <w:szCs w:val="21"/>
                      <w:lang w:val="en-US" w:eastAsia="zh-CN"/>
                    </w:rPr>
                    <w:t>7</w:t>
                  </w:r>
                </w:p>
              </w:tc>
              <w:tc>
                <w:tcPr>
                  <w:tcW w:w="932" w:type="pct"/>
                  <w:vAlign w:val="center"/>
                </w:tcPr>
                <w:p>
                  <w:pPr>
                    <w:pStyle w:val="61"/>
                    <w:rPr>
                      <w:color w:val="000000"/>
                      <w:spacing w:val="4"/>
                      <w:szCs w:val="21"/>
                    </w:rPr>
                  </w:pPr>
                  <w:r>
                    <w:rPr>
                      <w:rFonts w:hint="eastAsia"/>
                      <w:color w:val="000000"/>
                      <w:szCs w:val="21"/>
                    </w:rPr>
                    <w:t>生活垃圾</w:t>
                  </w:r>
                </w:p>
              </w:tc>
              <w:tc>
                <w:tcPr>
                  <w:tcW w:w="862" w:type="pct"/>
                  <w:vAlign w:val="center"/>
                </w:tcPr>
                <w:p>
                  <w:pPr>
                    <w:pStyle w:val="61"/>
                    <w:rPr>
                      <w:color w:val="000000"/>
                      <w:spacing w:val="4"/>
                      <w:szCs w:val="21"/>
                    </w:rPr>
                  </w:pPr>
                  <w:r>
                    <w:rPr>
                      <w:rFonts w:hint="eastAsia"/>
                      <w:color w:val="000000"/>
                      <w:szCs w:val="21"/>
                    </w:rPr>
                    <w:t>员工生活</w:t>
                  </w:r>
                </w:p>
              </w:tc>
              <w:tc>
                <w:tcPr>
                  <w:tcW w:w="496" w:type="pct"/>
                  <w:vAlign w:val="center"/>
                </w:tcPr>
                <w:p>
                  <w:pPr>
                    <w:adjustRightInd w:val="0"/>
                    <w:snapToGrid w:val="0"/>
                    <w:jc w:val="center"/>
                    <w:textAlignment w:val="baseline"/>
                    <w:rPr>
                      <w:color w:val="000000"/>
                      <w:spacing w:val="4"/>
                    </w:rPr>
                  </w:pPr>
                  <w:r>
                    <w:rPr>
                      <w:rFonts w:hint="eastAsia"/>
                      <w:color w:val="000000"/>
                      <w:spacing w:val="4"/>
                    </w:rPr>
                    <w:t>生活垃圾</w:t>
                  </w:r>
                </w:p>
              </w:tc>
              <w:tc>
                <w:tcPr>
                  <w:tcW w:w="927" w:type="pct"/>
                  <w:vAlign w:val="center"/>
                </w:tcPr>
                <w:p>
                  <w:pPr>
                    <w:tabs>
                      <w:tab w:val="left" w:pos="0"/>
                    </w:tabs>
                    <w:adjustRightInd w:val="0"/>
                    <w:snapToGrid w:val="0"/>
                    <w:jc w:val="center"/>
                    <w:textAlignment w:val="baseline"/>
                    <w:rPr>
                      <w:color w:val="000000"/>
                      <w:spacing w:val="4"/>
                      <w:szCs w:val="22"/>
                    </w:rPr>
                  </w:pPr>
                  <w:r>
                    <w:rPr>
                      <w:color w:val="000000"/>
                      <w:spacing w:val="4"/>
                      <w:szCs w:val="21"/>
                    </w:rPr>
                    <w:t>900-999-99</w:t>
                  </w:r>
                </w:p>
              </w:tc>
              <w:tc>
                <w:tcPr>
                  <w:tcW w:w="675" w:type="pct"/>
                  <w:vAlign w:val="center"/>
                </w:tcPr>
                <w:p>
                  <w:pPr>
                    <w:tabs>
                      <w:tab w:val="left" w:pos="0"/>
                    </w:tabs>
                    <w:adjustRightInd w:val="0"/>
                    <w:snapToGrid w:val="0"/>
                    <w:jc w:val="center"/>
                    <w:textAlignment w:val="baseline"/>
                    <w:rPr>
                      <w:color w:val="000000"/>
                      <w:spacing w:val="4"/>
                    </w:rPr>
                  </w:pPr>
                  <w:r>
                    <w:rPr>
                      <w:rFonts w:hint="eastAsia"/>
                      <w:color w:val="000000"/>
                      <w:spacing w:val="4"/>
                    </w:rPr>
                    <w:t>30</w:t>
                  </w:r>
                </w:p>
              </w:tc>
              <w:tc>
                <w:tcPr>
                  <w:tcW w:w="708" w:type="pct"/>
                  <w:vAlign w:val="center"/>
                </w:tcPr>
                <w:p>
                  <w:pPr>
                    <w:tabs>
                      <w:tab w:val="left" w:pos="0"/>
                    </w:tabs>
                    <w:adjustRightInd w:val="0"/>
                    <w:snapToGrid w:val="0"/>
                    <w:jc w:val="center"/>
                    <w:textAlignment w:val="baseline"/>
                    <w:rPr>
                      <w:color w:val="000000"/>
                      <w:spacing w:val="4"/>
                    </w:rPr>
                  </w:pPr>
                  <w:r>
                    <w:rPr>
                      <w:color w:val="000000"/>
                      <w:spacing w:val="4"/>
                    </w:rPr>
                    <w:t>环卫部门清运</w:t>
                  </w:r>
                </w:p>
              </w:tc>
            </w:tr>
          </w:tbl>
          <w:p>
            <w:pPr>
              <w:tabs>
                <w:tab w:val="left" w:pos="0"/>
              </w:tabs>
              <w:spacing w:line="360" w:lineRule="auto"/>
              <w:ind w:firstLine="480" w:firstLineChars="200"/>
              <w:rPr>
                <w:color w:val="000000"/>
                <w:sz w:val="24"/>
              </w:rPr>
            </w:pPr>
            <w:r>
              <w:rPr>
                <w:color w:val="000000"/>
                <w:sz w:val="24"/>
              </w:rPr>
              <w:t>为避免生产过程中产生的固废对环境产生影响，企业应采取以下措施：</w:t>
            </w:r>
          </w:p>
          <w:p>
            <w:pPr>
              <w:tabs>
                <w:tab w:val="left" w:pos="0"/>
              </w:tabs>
              <w:spacing w:line="360" w:lineRule="auto"/>
              <w:rPr>
                <w:b/>
                <w:color w:val="000000"/>
                <w:sz w:val="24"/>
              </w:rPr>
            </w:pPr>
            <w:r>
              <w:rPr>
                <w:b/>
                <w:bCs/>
                <w:color w:val="000000"/>
                <w:sz w:val="24"/>
              </w:rPr>
              <w:t>4.4.2.1</w:t>
            </w:r>
            <w:r>
              <w:rPr>
                <w:rFonts w:hint="eastAsia"/>
                <w:b/>
                <w:bCs/>
                <w:color w:val="000000"/>
                <w:sz w:val="24"/>
              </w:rPr>
              <w:t>环境管理要求</w:t>
            </w:r>
            <w:r>
              <w:rPr>
                <w:b/>
                <w:bCs/>
                <w:color w:val="000000"/>
                <w:sz w:val="24"/>
              </w:rPr>
              <w:t>：</w:t>
            </w:r>
          </w:p>
          <w:p>
            <w:pPr>
              <w:tabs>
                <w:tab w:val="left" w:pos="0"/>
              </w:tabs>
              <w:spacing w:line="360" w:lineRule="auto"/>
              <w:ind w:firstLine="480" w:firstLineChars="200"/>
              <w:rPr>
                <w:color w:val="000000"/>
                <w:sz w:val="24"/>
              </w:rPr>
            </w:pPr>
            <w:r>
              <w:rPr>
                <w:rFonts w:hint="eastAsia"/>
                <w:color w:val="000000"/>
                <w:sz w:val="24"/>
              </w:rPr>
              <w:tab/>
            </w:r>
            <w:r>
              <w:rPr>
                <w:rFonts w:hint="eastAsia"/>
                <w:color w:val="000000"/>
                <w:sz w:val="24"/>
              </w:rPr>
              <w:t>1、一般固体废物储存场所</w:t>
            </w:r>
          </w:p>
          <w:p>
            <w:pPr>
              <w:tabs>
                <w:tab w:val="left" w:pos="0"/>
              </w:tabs>
              <w:spacing w:line="360" w:lineRule="auto"/>
              <w:ind w:firstLine="480" w:firstLineChars="200"/>
              <w:rPr>
                <w:color w:val="000000"/>
                <w:sz w:val="24"/>
              </w:rPr>
            </w:pPr>
            <w:r>
              <w:rPr>
                <w:rFonts w:hint="eastAsia"/>
                <w:color w:val="000000"/>
                <w:sz w:val="24"/>
              </w:rPr>
              <w:t>本项目设置一般固废处置区20m</w:t>
            </w:r>
            <w:r>
              <w:rPr>
                <w:rFonts w:hint="eastAsia"/>
                <w:color w:val="000000"/>
                <w:sz w:val="24"/>
                <w:vertAlign w:val="superscript"/>
              </w:rPr>
              <w:t>2</w:t>
            </w:r>
            <w:r>
              <w:rPr>
                <w:rFonts w:hint="eastAsia"/>
                <w:color w:val="000000"/>
                <w:sz w:val="24"/>
              </w:rPr>
              <w:t>，一般工业固废经收集后按照《一般工业固体废物贮存、处置场污染控制标准》</w:t>
            </w:r>
            <w:r>
              <w:rPr>
                <w:color w:val="000000"/>
                <w:sz w:val="24"/>
              </w:rPr>
              <w:t>(GB18599-20</w:t>
            </w:r>
            <w:r>
              <w:rPr>
                <w:rFonts w:hint="eastAsia"/>
                <w:color w:val="000000"/>
                <w:sz w:val="24"/>
              </w:rPr>
              <w:t>23</w:t>
            </w:r>
            <w:r>
              <w:rPr>
                <w:color w:val="000000"/>
                <w:sz w:val="24"/>
              </w:rPr>
              <w:t>)</w:t>
            </w:r>
            <w:r>
              <w:rPr>
                <w:rFonts w:hint="eastAsia"/>
                <w:color w:val="000000"/>
                <w:sz w:val="24"/>
              </w:rPr>
              <w:t>的规定要求进行临时贮存后，由资源回收单位回收利用。项目一般工业固废贮存场所应按照《环境保护图形标志——固体废物贮存（处置）场》</w:t>
            </w:r>
            <w:r>
              <w:rPr>
                <w:color w:val="000000"/>
                <w:sz w:val="24"/>
              </w:rPr>
              <w:t>(GB15562.2)</w:t>
            </w:r>
            <w:r>
              <w:rPr>
                <w:rFonts w:hint="eastAsia"/>
                <w:color w:val="000000"/>
                <w:sz w:val="24"/>
              </w:rPr>
              <w:t>要求设置环保图形标志。</w:t>
            </w:r>
          </w:p>
          <w:p>
            <w:pPr>
              <w:tabs>
                <w:tab w:val="left" w:pos="0"/>
              </w:tabs>
              <w:spacing w:line="360" w:lineRule="auto"/>
              <w:ind w:firstLine="480" w:firstLineChars="200"/>
              <w:rPr>
                <w:color w:val="000000"/>
                <w:sz w:val="24"/>
              </w:rPr>
            </w:pPr>
            <w:r>
              <w:rPr>
                <w:rFonts w:hint="eastAsia"/>
                <w:color w:val="000000"/>
                <w:sz w:val="24"/>
              </w:rPr>
              <w:t>2、危险废物贮存场所</w:t>
            </w:r>
          </w:p>
          <w:p>
            <w:pPr>
              <w:tabs>
                <w:tab w:val="left" w:pos="0"/>
              </w:tabs>
              <w:spacing w:line="360" w:lineRule="auto"/>
              <w:ind w:firstLine="480" w:firstLineChars="200"/>
              <w:rPr>
                <w:color w:val="000000"/>
                <w:sz w:val="24"/>
              </w:rPr>
            </w:pPr>
            <w:r>
              <w:rPr>
                <w:color w:val="000000"/>
                <w:sz w:val="24"/>
              </w:rPr>
              <w:t>A</w:t>
            </w:r>
            <w:r>
              <w:rPr>
                <w:rFonts w:hint="eastAsia"/>
                <w:color w:val="000000"/>
                <w:sz w:val="24"/>
              </w:rPr>
              <w:t>、危险废物贮存场所（设施）选址可行性分析</w:t>
            </w:r>
          </w:p>
          <w:p>
            <w:pPr>
              <w:tabs>
                <w:tab w:val="left" w:pos="0"/>
              </w:tabs>
              <w:spacing w:line="360" w:lineRule="auto"/>
              <w:ind w:firstLine="480" w:firstLineChars="200"/>
              <w:rPr>
                <w:color w:val="000000"/>
                <w:sz w:val="24"/>
              </w:rPr>
            </w:pPr>
            <w:r>
              <w:rPr>
                <w:rFonts w:hint="eastAsia"/>
                <w:color w:val="000000"/>
                <w:sz w:val="24"/>
              </w:rPr>
              <w:t>企业现有危废仓库共20m</w:t>
            </w:r>
            <w:r>
              <w:rPr>
                <w:rFonts w:hint="eastAsia"/>
                <w:color w:val="000000"/>
                <w:sz w:val="24"/>
                <w:vertAlign w:val="superscript"/>
              </w:rPr>
              <w:t>2</w:t>
            </w:r>
            <w:r>
              <w:rPr>
                <w:rFonts w:hint="eastAsia"/>
                <w:color w:val="000000"/>
                <w:sz w:val="24"/>
              </w:rPr>
              <w:t>，按照《危险废物贮存污染控制标准》（</w:t>
            </w:r>
            <w:r>
              <w:rPr>
                <w:color w:val="000000"/>
                <w:sz w:val="24"/>
              </w:rPr>
              <w:t>GB18597-20</w:t>
            </w:r>
            <w:r>
              <w:rPr>
                <w:rFonts w:hint="eastAsia"/>
                <w:color w:val="000000"/>
                <w:sz w:val="24"/>
              </w:rPr>
              <w:t>23）进行建设。项目危废贮存场所在做到该文件的要求基础上，且建设项目区域内无水源保护、其他生态保护目标，因此，项目的危废储存场所选址是可行的。</w:t>
            </w:r>
          </w:p>
          <w:p>
            <w:pPr>
              <w:tabs>
                <w:tab w:val="left" w:pos="0"/>
              </w:tabs>
              <w:spacing w:line="360" w:lineRule="auto"/>
              <w:ind w:firstLine="480" w:firstLineChars="200"/>
              <w:rPr>
                <w:color w:val="000000"/>
                <w:sz w:val="24"/>
              </w:rPr>
            </w:pPr>
            <w:r>
              <w:rPr>
                <w:color w:val="000000"/>
                <w:sz w:val="24"/>
              </w:rPr>
              <w:t>B</w:t>
            </w:r>
            <w:r>
              <w:rPr>
                <w:rFonts w:hint="eastAsia"/>
                <w:color w:val="000000"/>
                <w:sz w:val="24"/>
              </w:rPr>
              <w:t>、危废储存场所设置合理性分析</w:t>
            </w:r>
          </w:p>
          <w:p>
            <w:pPr>
              <w:tabs>
                <w:tab w:val="left" w:pos="0"/>
              </w:tabs>
              <w:spacing w:line="360" w:lineRule="auto"/>
              <w:ind w:firstLine="480" w:firstLineChars="200"/>
              <w:rPr>
                <w:b/>
                <w:color w:val="000000"/>
                <w:sz w:val="24"/>
              </w:rPr>
            </w:pPr>
            <w:r>
              <w:rPr>
                <w:color w:val="000000"/>
                <w:sz w:val="24"/>
              </w:rPr>
              <w:t>项目危废储存设施基本情况见下表</w:t>
            </w:r>
          </w:p>
          <w:p>
            <w:pPr>
              <w:tabs>
                <w:tab w:val="left" w:pos="1484"/>
                <w:tab w:val="center" w:pos="4032"/>
              </w:tabs>
              <w:snapToGrid w:val="0"/>
              <w:spacing w:before="60"/>
              <w:jc w:val="center"/>
              <w:rPr>
                <w:b/>
                <w:color w:val="000000"/>
                <w:sz w:val="24"/>
              </w:rPr>
            </w:pPr>
            <w:r>
              <w:rPr>
                <w:b/>
                <w:color w:val="000000"/>
                <w:sz w:val="24"/>
              </w:rPr>
              <w:t>表4-25  危险废物贮存场所（设施）基本情况</w:t>
            </w:r>
          </w:p>
          <w:tbl>
            <w:tblPr>
              <w:tblStyle w:val="20"/>
              <w:tblW w:w="4997"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787"/>
              <w:gridCol w:w="1693"/>
              <w:gridCol w:w="1720"/>
              <w:gridCol w:w="780"/>
              <w:gridCol w:w="809"/>
              <w:gridCol w:w="1214"/>
              <w:gridCol w:w="726"/>
              <w:gridCol w:w="829"/>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279" w:type="pct"/>
                  <w:vAlign w:val="center"/>
                </w:tcPr>
                <w:p>
                  <w:pPr>
                    <w:tabs>
                      <w:tab w:val="left" w:pos="0"/>
                    </w:tabs>
                    <w:jc w:val="center"/>
                    <w:rPr>
                      <w:b/>
                      <w:color w:val="000000"/>
                      <w:szCs w:val="21"/>
                    </w:rPr>
                  </w:pPr>
                  <w:r>
                    <w:rPr>
                      <w:b/>
                      <w:color w:val="000000"/>
                      <w:szCs w:val="21"/>
                    </w:rPr>
                    <w:t>序号</w:t>
                  </w:r>
                </w:p>
              </w:tc>
              <w:tc>
                <w:tcPr>
                  <w:tcW w:w="434" w:type="pct"/>
                  <w:vAlign w:val="center"/>
                </w:tcPr>
                <w:p>
                  <w:pPr>
                    <w:tabs>
                      <w:tab w:val="left" w:pos="0"/>
                    </w:tabs>
                    <w:jc w:val="center"/>
                    <w:rPr>
                      <w:b/>
                      <w:color w:val="000000"/>
                      <w:szCs w:val="21"/>
                    </w:rPr>
                  </w:pPr>
                  <w:r>
                    <w:rPr>
                      <w:b/>
                      <w:color w:val="000000"/>
                      <w:szCs w:val="21"/>
                    </w:rPr>
                    <w:t>贮存</w:t>
                  </w:r>
                </w:p>
                <w:p>
                  <w:pPr>
                    <w:tabs>
                      <w:tab w:val="left" w:pos="0"/>
                    </w:tabs>
                    <w:jc w:val="center"/>
                    <w:rPr>
                      <w:b/>
                      <w:color w:val="000000"/>
                      <w:szCs w:val="21"/>
                    </w:rPr>
                  </w:pPr>
                  <w:r>
                    <w:rPr>
                      <w:b/>
                      <w:color w:val="000000"/>
                      <w:szCs w:val="21"/>
                    </w:rPr>
                    <w:t>场所</w:t>
                  </w:r>
                </w:p>
              </w:tc>
              <w:tc>
                <w:tcPr>
                  <w:tcW w:w="933" w:type="pct"/>
                  <w:vAlign w:val="center"/>
                </w:tcPr>
                <w:p>
                  <w:pPr>
                    <w:tabs>
                      <w:tab w:val="left" w:pos="0"/>
                    </w:tabs>
                    <w:jc w:val="center"/>
                    <w:rPr>
                      <w:b/>
                      <w:color w:val="000000"/>
                      <w:szCs w:val="21"/>
                    </w:rPr>
                  </w:pPr>
                  <w:r>
                    <w:rPr>
                      <w:b/>
                      <w:color w:val="000000"/>
                      <w:szCs w:val="21"/>
                    </w:rPr>
                    <w:t>危险废物名称</w:t>
                  </w:r>
                </w:p>
              </w:tc>
              <w:tc>
                <w:tcPr>
                  <w:tcW w:w="948" w:type="pct"/>
                  <w:vAlign w:val="center"/>
                </w:tcPr>
                <w:p>
                  <w:pPr>
                    <w:tabs>
                      <w:tab w:val="left" w:pos="0"/>
                    </w:tabs>
                    <w:jc w:val="center"/>
                    <w:rPr>
                      <w:b/>
                      <w:color w:val="000000"/>
                      <w:szCs w:val="21"/>
                    </w:rPr>
                  </w:pPr>
                  <w:r>
                    <w:rPr>
                      <w:b/>
                      <w:color w:val="000000"/>
                      <w:szCs w:val="21"/>
                    </w:rPr>
                    <w:t>危险废物类别及代码</w:t>
                  </w:r>
                </w:p>
              </w:tc>
              <w:tc>
                <w:tcPr>
                  <w:tcW w:w="430" w:type="pct"/>
                  <w:vAlign w:val="center"/>
                </w:tcPr>
                <w:p>
                  <w:pPr>
                    <w:tabs>
                      <w:tab w:val="left" w:pos="0"/>
                    </w:tabs>
                    <w:jc w:val="center"/>
                    <w:rPr>
                      <w:b/>
                      <w:color w:val="000000"/>
                      <w:szCs w:val="21"/>
                    </w:rPr>
                  </w:pPr>
                  <w:r>
                    <w:rPr>
                      <w:b/>
                      <w:color w:val="000000"/>
                      <w:szCs w:val="21"/>
                    </w:rPr>
                    <w:t>位置</w:t>
                  </w:r>
                </w:p>
              </w:tc>
              <w:tc>
                <w:tcPr>
                  <w:tcW w:w="446" w:type="pct"/>
                  <w:vAlign w:val="center"/>
                </w:tcPr>
                <w:p>
                  <w:pPr>
                    <w:tabs>
                      <w:tab w:val="left" w:pos="0"/>
                    </w:tabs>
                    <w:jc w:val="center"/>
                    <w:rPr>
                      <w:b/>
                      <w:color w:val="000000"/>
                      <w:szCs w:val="21"/>
                    </w:rPr>
                  </w:pPr>
                  <w:r>
                    <w:rPr>
                      <w:b/>
                      <w:color w:val="000000"/>
                      <w:szCs w:val="21"/>
                    </w:rPr>
                    <w:t>占地</w:t>
                  </w:r>
                </w:p>
                <w:p>
                  <w:pPr>
                    <w:tabs>
                      <w:tab w:val="left" w:pos="0"/>
                    </w:tabs>
                    <w:jc w:val="center"/>
                    <w:rPr>
                      <w:b/>
                      <w:color w:val="000000"/>
                      <w:szCs w:val="21"/>
                    </w:rPr>
                  </w:pPr>
                  <w:r>
                    <w:rPr>
                      <w:b/>
                      <w:color w:val="000000"/>
                      <w:szCs w:val="21"/>
                    </w:rPr>
                    <w:t>面积</w:t>
                  </w:r>
                </w:p>
              </w:tc>
              <w:tc>
                <w:tcPr>
                  <w:tcW w:w="669" w:type="pct"/>
                  <w:vAlign w:val="center"/>
                </w:tcPr>
                <w:p>
                  <w:pPr>
                    <w:tabs>
                      <w:tab w:val="left" w:pos="0"/>
                    </w:tabs>
                    <w:jc w:val="center"/>
                    <w:rPr>
                      <w:b/>
                      <w:color w:val="000000"/>
                      <w:szCs w:val="21"/>
                    </w:rPr>
                  </w:pPr>
                  <w:r>
                    <w:rPr>
                      <w:b/>
                      <w:color w:val="000000"/>
                      <w:szCs w:val="21"/>
                    </w:rPr>
                    <w:t>贮存</w:t>
                  </w:r>
                </w:p>
                <w:p>
                  <w:pPr>
                    <w:tabs>
                      <w:tab w:val="left" w:pos="0"/>
                    </w:tabs>
                    <w:jc w:val="center"/>
                    <w:rPr>
                      <w:b/>
                      <w:color w:val="000000"/>
                      <w:szCs w:val="21"/>
                    </w:rPr>
                  </w:pPr>
                  <w:r>
                    <w:rPr>
                      <w:b/>
                      <w:color w:val="000000"/>
                      <w:szCs w:val="21"/>
                    </w:rPr>
                    <w:t>方式</w:t>
                  </w:r>
                </w:p>
              </w:tc>
              <w:tc>
                <w:tcPr>
                  <w:tcW w:w="400" w:type="pct"/>
                  <w:vAlign w:val="center"/>
                </w:tcPr>
                <w:p>
                  <w:pPr>
                    <w:tabs>
                      <w:tab w:val="left" w:pos="0"/>
                    </w:tabs>
                    <w:jc w:val="center"/>
                    <w:rPr>
                      <w:b/>
                      <w:color w:val="000000"/>
                      <w:szCs w:val="21"/>
                    </w:rPr>
                  </w:pPr>
                  <w:r>
                    <w:rPr>
                      <w:b/>
                      <w:color w:val="000000"/>
                      <w:szCs w:val="21"/>
                    </w:rPr>
                    <w:t>贮存能力</w:t>
                  </w:r>
                </w:p>
              </w:tc>
              <w:tc>
                <w:tcPr>
                  <w:tcW w:w="457" w:type="pct"/>
                  <w:vAlign w:val="center"/>
                </w:tcPr>
                <w:p>
                  <w:pPr>
                    <w:tabs>
                      <w:tab w:val="left" w:pos="0"/>
                    </w:tabs>
                    <w:jc w:val="center"/>
                    <w:rPr>
                      <w:b/>
                      <w:color w:val="000000"/>
                      <w:szCs w:val="21"/>
                    </w:rPr>
                  </w:pPr>
                  <w:r>
                    <w:rPr>
                      <w:b/>
                      <w:color w:val="000000"/>
                      <w:szCs w:val="21"/>
                    </w:rPr>
                    <w:t>贮存周期</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79" w:type="pct"/>
                  <w:vAlign w:val="center"/>
                </w:tcPr>
                <w:p>
                  <w:pPr>
                    <w:tabs>
                      <w:tab w:val="left" w:pos="0"/>
                    </w:tabs>
                    <w:jc w:val="center"/>
                    <w:rPr>
                      <w:bCs/>
                      <w:color w:val="000000"/>
                      <w:szCs w:val="21"/>
                    </w:rPr>
                  </w:pPr>
                  <w:r>
                    <w:rPr>
                      <w:bCs/>
                      <w:color w:val="000000"/>
                      <w:szCs w:val="21"/>
                    </w:rPr>
                    <w:t>1</w:t>
                  </w:r>
                </w:p>
              </w:tc>
              <w:tc>
                <w:tcPr>
                  <w:tcW w:w="434" w:type="pct"/>
                  <w:vMerge w:val="restart"/>
                  <w:vAlign w:val="center"/>
                </w:tcPr>
                <w:p>
                  <w:pPr>
                    <w:tabs>
                      <w:tab w:val="left" w:pos="0"/>
                    </w:tabs>
                    <w:jc w:val="center"/>
                    <w:rPr>
                      <w:bCs/>
                      <w:color w:val="000000"/>
                      <w:szCs w:val="21"/>
                    </w:rPr>
                  </w:pPr>
                  <w:r>
                    <w:rPr>
                      <w:bCs/>
                      <w:color w:val="000000"/>
                      <w:szCs w:val="21"/>
                    </w:rPr>
                    <w:t>危废暂存间</w:t>
                  </w:r>
                </w:p>
              </w:tc>
              <w:tc>
                <w:tcPr>
                  <w:tcW w:w="933" w:type="pct"/>
                  <w:vAlign w:val="center"/>
                </w:tcPr>
                <w:p>
                  <w:pPr>
                    <w:pStyle w:val="61"/>
                    <w:rPr>
                      <w:color w:val="000000"/>
                      <w:spacing w:val="4"/>
                      <w:highlight w:val="yellow"/>
                    </w:rPr>
                  </w:pPr>
                  <w:r>
                    <w:rPr>
                      <w:rFonts w:hint="eastAsia"/>
                      <w:color w:val="000000"/>
                      <w:szCs w:val="21"/>
                    </w:rPr>
                    <w:t>清洗废液</w:t>
                  </w:r>
                </w:p>
              </w:tc>
              <w:tc>
                <w:tcPr>
                  <w:tcW w:w="948" w:type="pct"/>
                  <w:vAlign w:val="center"/>
                </w:tcPr>
                <w:p>
                  <w:pPr>
                    <w:widowControl/>
                    <w:jc w:val="center"/>
                    <w:rPr>
                      <w:color w:val="000000"/>
                      <w:kern w:val="0"/>
                      <w:szCs w:val="21"/>
                    </w:rPr>
                  </w:pPr>
                  <w:r>
                    <w:rPr>
                      <w:color w:val="000000"/>
                      <w:kern w:val="0"/>
                      <w:szCs w:val="21"/>
                    </w:rPr>
                    <w:t>HW</w:t>
                  </w:r>
                  <w:r>
                    <w:rPr>
                      <w:rFonts w:hint="eastAsia"/>
                      <w:color w:val="000000"/>
                      <w:kern w:val="0"/>
                      <w:szCs w:val="21"/>
                    </w:rPr>
                    <w:t>06</w:t>
                  </w:r>
                </w:p>
                <w:p>
                  <w:pPr>
                    <w:widowControl/>
                    <w:jc w:val="center"/>
                    <w:rPr>
                      <w:color w:val="000000"/>
                      <w:spacing w:val="4"/>
                      <w:highlight w:val="yellow"/>
                    </w:rPr>
                  </w:pPr>
                  <w:r>
                    <w:rPr>
                      <w:color w:val="000000"/>
                      <w:kern w:val="0"/>
                      <w:szCs w:val="21"/>
                    </w:rPr>
                    <w:t>900-</w:t>
                  </w:r>
                  <w:r>
                    <w:rPr>
                      <w:rFonts w:hint="eastAsia"/>
                      <w:color w:val="000000"/>
                      <w:kern w:val="0"/>
                      <w:szCs w:val="21"/>
                    </w:rPr>
                    <w:t>404</w:t>
                  </w:r>
                  <w:r>
                    <w:rPr>
                      <w:color w:val="000000"/>
                      <w:kern w:val="0"/>
                      <w:szCs w:val="21"/>
                    </w:rPr>
                    <w:t>-</w:t>
                  </w:r>
                  <w:r>
                    <w:rPr>
                      <w:rFonts w:hint="eastAsia"/>
                      <w:color w:val="000000"/>
                      <w:kern w:val="0"/>
                      <w:szCs w:val="21"/>
                    </w:rPr>
                    <w:t>06</w:t>
                  </w:r>
                </w:p>
              </w:tc>
              <w:tc>
                <w:tcPr>
                  <w:tcW w:w="430" w:type="pct"/>
                  <w:vMerge w:val="restart"/>
                  <w:vAlign w:val="center"/>
                </w:tcPr>
                <w:p>
                  <w:pPr>
                    <w:tabs>
                      <w:tab w:val="left" w:pos="0"/>
                    </w:tabs>
                    <w:jc w:val="center"/>
                    <w:rPr>
                      <w:bCs/>
                      <w:color w:val="000000"/>
                      <w:szCs w:val="21"/>
                    </w:rPr>
                  </w:pPr>
                  <w:r>
                    <w:rPr>
                      <w:bCs/>
                      <w:color w:val="000000"/>
                      <w:szCs w:val="21"/>
                    </w:rPr>
                    <w:t>厂房</w:t>
                  </w:r>
                  <w:r>
                    <w:rPr>
                      <w:rFonts w:hint="eastAsia"/>
                      <w:bCs/>
                      <w:color w:val="000000"/>
                      <w:szCs w:val="21"/>
                    </w:rPr>
                    <w:t>四楼</w:t>
                  </w:r>
                </w:p>
              </w:tc>
              <w:tc>
                <w:tcPr>
                  <w:tcW w:w="446" w:type="pct"/>
                  <w:vAlign w:val="center"/>
                </w:tcPr>
                <w:p>
                  <w:pPr>
                    <w:tabs>
                      <w:tab w:val="left" w:pos="0"/>
                    </w:tabs>
                    <w:jc w:val="center"/>
                    <w:rPr>
                      <w:bCs/>
                      <w:color w:val="000000"/>
                      <w:szCs w:val="21"/>
                    </w:rPr>
                  </w:pPr>
                  <w:r>
                    <w:rPr>
                      <w:bCs/>
                      <w:color w:val="000000"/>
                      <w:szCs w:val="21"/>
                    </w:rPr>
                    <w:t>20m</w:t>
                  </w:r>
                  <w:r>
                    <w:rPr>
                      <w:bCs/>
                      <w:color w:val="000000"/>
                      <w:szCs w:val="21"/>
                      <w:vertAlign w:val="superscript"/>
                    </w:rPr>
                    <w:t>2</w:t>
                  </w:r>
                </w:p>
              </w:tc>
              <w:tc>
                <w:tcPr>
                  <w:tcW w:w="669" w:type="pct"/>
                  <w:vAlign w:val="center"/>
                </w:tcPr>
                <w:p>
                  <w:pPr>
                    <w:jc w:val="center"/>
                    <w:rPr>
                      <w:bCs/>
                      <w:color w:val="000000"/>
                      <w:szCs w:val="21"/>
                    </w:rPr>
                  </w:pPr>
                  <w:r>
                    <w:rPr>
                      <w:bCs/>
                      <w:color w:val="000000"/>
                      <w:szCs w:val="21"/>
                    </w:rPr>
                    <w:t>密封</w:t>
                  </w:r>
                  <w:r>
                    <w:rPr>
                      <w:rFonts w:hint="eastAsia"/>
                      <w:bCs/>
                      <w:color w:val="000000"/>
                      <w:szCs w:val="21"/>
                    </w:rPr>
                    <w:t>袋装</w:t>
                  </w:r>
                </w:p>
              </w:tc>
              <w:tc>
                <w:tcPr>
                  <w:tcW w:w="400" w:type="pct"/>
                  <w:vAlign w:val="center"/>
                </w:tcPr>
                <w:p>
                  <w:pPr>
                    <w:tabs>
                      <w:tab w:val="left" w:pos="0"/>
                    </w:tabs>
                    <w:jc w:val="center"/>
                    <w:rPr>
                      <w:bCs/>
                      <w:color w:val="000000"/>
                      <w:szCs w:val="21"/>
                    </w:rPr>
                  </w:pPr>
                  <w:r>
                    <w:rPr>
                      <w:bCs/>
                      <w:color w:val="000000"/>
                      <w:szCs w:val="21"/>
                    </w:rPr>
                    <w:t>5t</w:t>
                  </w:r>
                </w:p>
              </w:tc>
              <w:tc>
                <w:tcPr>
                  <w:tcW w:w="457" w:type="pct"/>
                  <w:vAlign w:val="center"/>
                </w:tcPr>
                <w:p>
                  <w:pPr>
                    <w:tabs>
                      <w:tab w:val="left" w:pos="0"/>
                    </w:tabs>
                    <w:jc w:val="center"/>
                    <w:rPr>
                      <w:bCs/>
                      <w:color w:val="000000"/>
                      <w:szCs w:val="21"/>
                    </w:rPr>
                  </w:pPr>
                  <w:r>
                    <w:rPr>
                      <w:bCs/>
                      <w:color w:val="000000"/>
                      <w:szCs w:val="21"/>
                    </w:rPr>
                    <w:t>六个月</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79" w:type="pct"/>
                  <w:vAlign w:val="center"/>
                </w:tcPr>
                <w:p>
                  <w:pPr>
                    <w:tabs>
                      <w:tab w:val="left" w:pos="0"/>
                    </w:tabs>
                    <w:jc w:val="center"/>
                    <w:rPr>
                      <w:bCs/>
                      <w:color w:val="000000"/>
                      <w:szCs w:val="21"/>
                    </w:rPr>
                  </w:pPr>
                  <w:r>
                    <w:rPr>
                      <w:bCs/>
                      <w:color w:val="000000"/>
                      <w:szCs w:val="21"/>
                    </w:rPr>
                    <w:t>2</w:t>
                  </w:r>
                </w:p>
              </w:tc>
              <w:tc>
                <w:tcPr>
                  <w:tcW w:w="434" w:type="pct"/>
                  <w:vMerge w:val="continue"/>
                  <w:vAlign w:val="center"/>
                </w:tcPr>
                <w:p>
                  <w:pPr>
                    <w:tabs>
                      <w:tab w:val="left" w:pos="0"/>
                    </w:tabs>
                    <w:jc w:val="center"/>
                    <w:rPr>
                      <w:bCs/>
                      <w:color w:val="000000"/>
                      <w:szCs w:val="21"/>
                    </w:rPr>
                  </w:pPr>
                </w:p>
              </w:tc>
              <w:tc>
                <w:tcPr>
                  <w:tcW w:w="933" w:type="pct"/>
                  <w:vAlign w:val="center"/>
                </w:tcPr>
                <w:p>
                  <w:pPr>
                    <w:pStyle w:val="61"/>
                    <w:rPr>
                      <w:color w:val="000000"/>
                      <w:spacing w:val="4"/>
                    </w:rPr>
                  </w:pPr>
                  <w:r>
                    <w:rPr>
                      <w:color w:val="000000"/>
                      <w:szCs w:val="21"/>
                    </w:rPr>
                    <w:t>废擦拭纸</w:t>
                  </w:r>
                </w:p>
              </w:tc>
              <w:tc>
                <w:tcPr>
                  <w:tcW w:w="948" w:type="pct"/>
                  <w:vAlign w:val="center"/>
                </w:tcPr>
                <w:p>
                  <w:pPr>
                    <w:widowControl/>
                    <w:jc w:val="center"/>
                    <w:rPr>
                      <w:color w:val="000000"/>
                      <w:kern w:val="0"/>
                      <w:szCs w:val="21"/>
                    </w:rPr>
                  </w:pPr>
                  <w:r>
                    <w:rPr>
                      <w:color w:val="000000"/>
                      <w:kern w:val="0"/>
                      <w:szCs w:val="21"/>
                    </w:rPr>
                    <w:t>HW49</w:t>
                  </w:r>
                </w:p>
                <w:p>
                  <w:pPr>
                    <w:widowControl/>
                    <w:jc w:val="center"/>
                    <w:rPr>
                      <w:color w:val="000000"/>
                      <w:spacing w:val="4"/>
                    </w:rPr>
                  </w:pPr>
                  <w:r>
                    <w:rPr>
                      <w:color w:val="000000"/>
                      <w:kern w:val="0"/>
                      <w:szCs w:val="21"/>
                    </w:rPr>
                    <w:t>900-041-49</w:t>
                  </w:r>
                </w:p>
              </w:tc>
              <w:tc>
                <w:tcPr>
                  <w:tcW w:w="430" w:type="pct"/>
                  <w:vMerge w:val="continue"/>
                  <w:vAlign w:val="center"/>
                </w:tcPr>
                <w:p>
                  <w:pPr>
                    <w:tabs>
                      <w:tab w:val="left" w:pos="0"/>
                    </w:tabs>
                    <w:jc w:val="center"/>
                    <w:rPr>
                      <w:bCs/>
                      <w:color w:val="000000"/>
                      <w:szCs w:val="21"/>
                    </w:rPr>
                  </w:pPr>
                </w:p>
              </w:tc>
              <w:tc>
                <w:tcPr>
                  <w:tcW w:w="446" w:type="pct"/>
                  <w:vAlign w:val="center"/>
                </w:tcPr>
                <w:p>
                  <w:pPr>
                    <w:tabs>
                      <w:tab w:val="left" w:pos="0"/>
                    </w:tabs>
                    <w:jc w:val="center"/>
                    <w:rPr>
                      <w:bCs/>
                      <w:color w:val="000000"/>
                      <w:szCs w:val="21"/>
                    </w:rPr>
                  </w:pPr>
                  <w:r>
                    <w:rPr>
                      <w:bCs/>
                      <w:color w:val="000000"/>
                      <w:szCs w:val="21"/>
                    </w:rPr>
                    <w:t>20m</w:t>
                  </w:r>
                  <w:r>
                    <w:rPr>
                      <w:bCs/>
                      <w:color w:val="000000"/>
                      <w:szCs w:val="21"/>
                      <w:vertAlign w:val="superscript"/>
                    </w:rPr>
                    <w:t>2</w:t>
                  </w:r>
                </w:p>
              </w:tc>
              <w:tc>
                <w:tcPr>
                  <w:tcW w:w="669" w:type="pct"/>
                  <w:vAlign w:val="center"/>
                </w:tcPr>
                <w:p>
                  <w:pPr>
                    <w:jc w:val="center"/>
                    <w:rPr>
                      <w:bCs/>
                      <w:color w:val="000000"/>
                      <w:szCs w:val="21"/>
                    </w:rPr>
                  </w:pPr>
                  <w:r>
                    <w:rPr>
                      <w:bCs/>
                      <w:color w:val="000000"/>
                      <w:szCs w:val="21"/>
                    </w:rPr>
                    <w:t>密封</w:t>
                  </w:r>
                  <w:r>
                    <w:rPr>
                      <w:rFonts w:hint="eastAsia"/>
                      <w:bCs/>
                      <w:color w:val="000000"/>
                      <w:szCs w:val="21"/>
                    </w:rPr>
                    <w:t>袋装</w:t>
                  </w:r>
                </w:p>
              </w:tc>
              <w:tc>
                <w:tcPr>
                  <w:tcW w:w="400" w:type="pct"/>
                  <w:vAlign w:val="center"/>
                </w:tcPr>
                <w:p>
                  <w:pPr>
                    <w:tabs>
                      <w:tab w:val="left" w:pos="0"/>
                    </w:tabs>
                    <w:jc w:val="center"/>
                    <w:rPr>
                      <w:bCs/>
                      <w:color w:val="000000"/>
                      <w:szCs w:val="21"/>
                    </w:rPr>
                  </w:pPr>
                  <w:r>
                    <w:rPr>
                      <w:bCs/>
                      <w:color w:val="000000"/>
                      <w:szCs w:val="21"/>
                    </w:rPr>
                    <w:t>5t</w:t>
                  </w:r>
                </w:p>
              </w:tc>
              <w:tc>
                <w:tcPr>
                  <w:tcW w:w="457" w:type="pct"/>
                  <w:vAlign w:val="center"/>
                </w:tcPr>
                <w:p>
                  <w:pPr>
                    <w:tabs>
                      <w:tab w:val="left" w:pos="0"/>
                    </w:tabs>
                    <w:jc w:val="center"/>
                    <w:rPr>
                      <w:bCs/>
                      <w:color w:val="000000"/>
                      <w:szCs w:val="21"/>
                    </w:rPr>
                  </w:pPr>
                  <w:r>
                    <w:rPr>
                      <w:bCs/>
                      <w:color w:val="000000"/>
                      <w:szCs w:val="21"/>
                    </w:rPr>
                    <w:t>六个月</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 w:type="pct"/>
                  <w:vAlign w:val="center"/>
                </w:tcPr>
                <w:p>
                  <w:pPr>
                    <w:tabs>
                      <w:tab w:val="left" w:pos="0"/>
                    </w:tabs>
                    <w:jc w:val="center"/>
                    <w:rPr>
                      <w:bCs/>
                      <w:color w:val="000000"/>
                      <w:szCs w:val="21"/>
                    </w:rPr>
                  </w:pPr>
                  <w:r>
                    <w:rPr>
                      <w:rFonts w:hint="eastAsia"/>
                      <w:bCs/>
                      <w:color w:val="000000"/>
                      <w:szCs w:val="21"/>
                    </w:rPr>
                    <w:t>3</w:t>
                  </w:r>
                </w:p>
              </w:tc>
              <w:tc>
                <w:tcPr>
                  <w:tcW w:w="434" w:type="pct"/>
                  <w:vMerge w:val="continue"/>
                  <w:vAlign w:val="center"/>
                </w:tcPr>
                <w:p>
                  <w:pPr>
                    <w:tabs>
                      <w:tab w:val="left" w:pos="0"/>
                    </w:tabs>
                    <w:jc w:val="center"/>
                    <w:rPr>
                      <w:bCs/>
                      <w:color w:val="000000"/>
                      <w:szCs w:val="21"/>
                    </w:rPr>
                  </w:pPr>
                </w:p>
              </w:tc>
              <w:tc>
                <w:tcPr>
                  <w:tcW w:w="933" w:type="pct"/>
                  <w:vAlign w:val="center"/>
                </w:tcPr>
                <w:p>
                  <w:pPr>
                    <w:pStyle w:val="61"/>
                    <w:rPr>
                      <w:color w:val="000000"/>
                      <w:szCs w:val="21"/>
                    </w:rPr>
                  </w:pPr>
                  <w:r>
                    <w:rPr>
                      <w:rFonts w:hint="eastAsia"/>
                      <w:color w:val="000000"/>
                      <w:szCs w:val="21"/>
                    </w:rPr>
                    <w:t>废包装桶</w:t>
                  </w:r>
                </w:p>
              </w:tc>
              <w:tc>
                <w:tcPr>
                  <w:tcW w:w="948" w:type="pct"/>
                  <w:vAlign w:val="center"/>
                </w:tcPr>
                <w:p>
                  <w:pPr>
                    <w:widowControl/>
                    <w:jc w:val="center"/>
                    <w:rPr>
                      <w:color w:val="000000"/>
                      <w:kern w:val="0"/>
                      <w:szCs w:val="21"/>
                    </w:rPr>
                  </w:pPr>
                  <w:r>
                    <w:rPr>
                      <w:color w:val="000000"/>
                      <w:kern w:val="0"/>
                      <w:szCs w:val="21"/>
                    </w:rPr>
                    <w:t>HW49</w:t>
                  </w:r>
                </w:p>
                <w:p>
                  <w:pPr>
                    <w:widowControl/>
                    <w:jc w:val="center"/>
                    <w:rPr>
                      <w:color w:val="000000"/>
                      <w:kern w:val="0"/>
                      <w:szCs w:val="21"/>
                    </w:rPr>
                  </w:pPr>
                  <w:r>
                    <w:rPr>
                      <w:color w:val="000000"/>
                      <w:kern w:val="0"/>
                      <w:szCs w:val="21"/>
                    </w:rPr>
                    <w:t>900-041-49</w:t>
                  </w:r>
                </w:p>
              </w:tc>
              <w:tc>
                <w:tcPr>
                  <w:tcW w:w="430" w:type="pct"/>
                  <w:vMerge w:val="continue"/>
                  <w:vAlign w:val="center"/>
                </w:tcPr>
                <w:p>
                  <w:pPr>
                    <w:tabs>
                      <w:tab w:val="left" w:pos="0"/>
                    </w:tabs>
                    <w:jc w:val="center"/>
                    <w:rPr>
                      <w:bCs/>
                      <w:color w:val="000000"/>
                      <w:szCs w:val="21"/>
                    </w:rPr>
                  </w:pPr>
                </w:p>
              </w:tc>
              <w:tc>
                <w:tcPr>
                  <w:tcW w:w="446" w:type="pct"/>
                  <w:vAlign w:val="center"/>
                </w:tcPr>
                <w:p>
                  <w:pPr>
                    <w:tabs>
                      <w:tab w:val="left" w:pos="0"/>
                    </w:tabs>
                    <w:jc w:val="center"/>
                    <w:rPr>
                      <w:bCs/>
                      <w:color w:val="000000"/>
                      <w:szCs w:val="21"/>
                    </w:rPr>
                  </w:pPr>
                  <w:r>
                    <w:rPr>
                      <w:bCs/>
                      <w:color w:val="000000"/>
                      <w:szCs w:val="21"/>
                    </w:rPr>
                    <w:t>20m</w:t>
                  </w:r>
                  <w:r>
                    <w:rPr>
                      <w:bCs/>
                      <w:color w:val="000000"/>
                      <w:szCs w:val="21"/>
                      <w:vertAlign w:val="superscript"/>
                    </w:rPr>
                    <w:t>2</w:t>
                  </w:r>
                </w:p>
              </w:tc>
              <w:tc>
                <w:tcPr>
                  <w:tcW w:w="669" w:type="pct"/>
                  <w:vAlign w:val="center"/>
                </w:tcPr>
                <w:p>
                  <w:pPr>
                    <w:jc w:val="center"/>
                    <w:rPr>
                      <w:bCs/>
                      <w:color w:val="000000"/>
                      <w:szCs w:val="21"/>
                    </w:rPr>
                  </w:pPr>
                  <w:r>
                    <w:rPr>
                      <w:bCs/>
                      <w:color w:val="000000"/>
                      <w:szCs w:val="21"/>
                    </w:rPr>
                    <w:t>密封</w:t>
                  </w:r>
                  <w:r>
                    <w:rPr>
                      <w:rFonts w:hint="eastAsia"/>
                      <w:bCs/>
                      <w:color w:val="000000"/>
                      <w:szCs w:val="21"/>
                    </w:rPr>
                    <w:t>袋装</w:t>
                  </w:r>
                </w:p>
              </w:tc>
              <w:tc>
                <w:tcPr>
                  <w:tcW w:w="400" w:type="pct"/>
                  <w:vAlign w:val="center"/>
                </w:tcPr>
                <w:p>
                  <w:pPr>
                    <w:tabs>
                      <w:tab w:val="left" w:pos="0"/>
                    </w:tabs>
                    <w:jc w:val="center"/>
                    <w:rPr>
                      <w:bCs/>
                      <w:color w:val="000000"/>
                      <w:szCs w:val="21"/>
                    </w:rPr>
                  </w:pPr>
                  <w:r>
                    <w:rPr>
                      <w:bCs/>
                      <w:color w:val="000000"/>
                      <w:szCs w:val="21"/>
                    </w:rPr>
                    <w:t>5t</w:t>
                  </w:r>
                </w:p>
              </w:tc>
              <w:tc>
                <w:tcPr>
                  <w:tcW w:w="457" w:type="pct"/>
                  <w:vAlign w:val="center"/>
                </w:tcPr>
                <w:p>
                  <w:pPr>
                    <w:jc w:val="center"/>
                    <w:rPr>
                      <w:bCs/>
                      <w:color w:val="000000"/>
                      <w:szCs w:val="21"/>
                    </w:rPr>
                  </w:pPr>
                  <w:r>
                    <w:rPr>
                      <w:bCs/>
                      <w:color w:val="000000"/>
                      <w:szCs w:val="21"/>
                    </w:rPr>
                    <w:t>六个月</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79" w:type="pct"/>
                  <w:vAlign w:val="center"/>
                </w:tcPr>
                <w:p>
                  <w:pPr>
                    <w:tabs>
                      <w:tab w:val="left" w:pos="0"/>
                    </w:tabs>
                    <w:jc w:val="center"/>
                    <w:rPr>
                      <w:rFonts w:hint="eastAsia" w:eastAsia="宋体"/>
                      <w:bCs/>
                      <w:color w:val="000000"/>
                      <w:szCs w:val="21"/>
                      <w:lang w:eastAsia="zh-CN"/>
                    </w:rPr>
                  </w:pPr>
                  <w:r>
                    <w:rPr>
                      <w:rFonts w:hint="eastAsia"/>
                      <w:bCs/>
                      <w:color w:val="000000"/>
                      <w:szCs w:val="21"/>
                      <w:lang w:val="en-US" w:eastAsia="zh-CN"/>
                    </w:rPr>
                    <w:t>4</w:t>
                  </w:r>
                </w:p>
              </w:tc>
              <w:tc>
                <w:tcPr>
                  <w:tcW w:w="434" w:type="pct"/>
                  <w:vMerge w:val="continue"/>
                  <w:vAlign w:val="center"/>
                </w:tcPr>
                <w:p>
                  <w:pPr>
                    <w:tabs>
                      <w:tab w:val="left" w:pos="0"/>
                    </w:tabs>
                    <w:jc w:val="center"/>
                    <w:rPr>
                      <w:bCs/>
                      <w:color w:val="000000"/>
                      <w:szCs w:val="21"/>
                    </w:rPr>
                  </w:pPr>
                </w:p>
              </w:tc>
              <w:tc>
                <w:tcPr>
                  <w:tcW w:w="933" w:type="pct"/>
                  <w:vAlign w:val="center"/>
                </w:tcPr>
                <w:p>
                  <w:pPr>
                    <w:tabs>
                      <w:tab w:val="left" w:pos="0"/>
                    </w:tabs>
                    <w:adjustRightInd w:val="0"/>
                    <w:snapToGrid w:val="0"/>
                    <w:jc w:val="center"/>
                    <w:textAlignment w:val="baseline"/>
                    <w:rPr>
                      <w:color w:val="000000"/>
                      <w:szCs w:val="21"/>
                    </w:rPr>
                  </w:pPr>
                  <w:r>
                    <w:rPr>
                      <w:color w:val="000000"/>
                      <w:spacing w:val="4"/>
                    </w:rPr>
                    <w:t>废活性炭</w:t>
                  </w:r>
                </w:p>
              </w:tc>
              <w:tc>
                <w:tcPr>
                  <w:tcW w:w="948" w:type="pct"/>
                  <w:vAlign w:val="center"/>
                </w:tcPr>
                <w:p>
                  <w:pPr>
                    <w:widowControl/>
                    <w:jc w:val="center"/>
                    <w:rPr>
                      <w:color w:val="000000"/>
                      <w:kern w:val="0"/>
                      <w:szCs w:val="21"/>
                    </w:rPr>
                  </w:pPr>
                  <w:r>
                    <w:rPr>
                      <w:color w:val="000000"/>
                      <w:kern w:val="0"/>
                      <w:szCs w:val="21"/>
                    </w:rPr>
                    <w:t>HW49</w:t>
                  </w:r>
                </w:p>
                <w:p>
                  <w:pPr>
                    <w:widowControl/>
                    <w:jc w:val="center"/>
                    <w:rPr>
                      <w:color w:val="000000"/>
                      <w:kern w:val="0"/>
                      <w:szCs w:val="21"/>
                    </w:rPr>
                  </w:pPr>
                  <w:r>
                    <w:rPr>
                      <w:color w:val="000000"/>
                      <w:kern w:val="0"/>
                      <w:szCs w:val="21"/>
                    </w:rPr>
                    <w:t>900-039-49</w:t>
                  </w:r>
                </w:p>
              </w:tc>
              <w:tc>
                <w:tcPr>
                  <w:tcW w:w="430" w:type="pct"/>
                  <w:vMerge w:val="continue"/>
                  <w:vAlign w:val="center"/>
                </w:tcPr>
                <w:p>
                  <w:pPr>
                    <w:tabs>
                      <w:tab w:val="left" w:pos="0"/>
                    </w:tabs>
                    <w:jc w:val="center"/>
                    <w:rPr>
                      <w:bCs/>
                      <w:color w:val="000000"/>
                      <w:szCs w:val="21"/>
                    </w:rPr>
                  </w:pPr>
                </w:p>
              </w:tc>
              <w:tc>
                <w:tcPr>
                  <w:tcW w:w="446" w:type="pct"/>
                  <w:vAlign w:val="center"/>
                </w:tcPr>
                <w:p>
                  <w:pPr>
                    <w:tabs>
                      <w:tab w:val="left" w:pos="0"/>
                    </w:tabs>
                    <w:jc w:val="center"/>
                    <w:rPr>
                      <w:bCs/>
                      <w:color w:val="000000"/>
                      <w:szCs w:val="21"/>
                    </w:rPr>
                  </w:pPr>
                  <w:r>
                    <w:rPr>
                      <w:bCs/>
                      <w:color w:val="000000"/>
                      <w:szCs w:val="21"/>
                    </w:rPr>
                    <w:t>20m</w:t>
                  </w:r>
                  <w:r>
                    <w:rPr>
                      <w:bCs/>
                      <w:color w:val="000000"/>
                      <w:szCs w:val="21"/>
                      <w:vertAlign w:val="superscript"/>
                    </w:rPr>
                    <w:t>2</w:t>
                  </w:r>
                </w:p>
              </w:tc>
              <w:tc>
                <w:tcPr>
                  <w:tcW w:w="669" w:type="pct"/>
                  <w:vAlign w:val="center"/>
                </w:tcPr>
                <w:p>
                  <w:pPr>
                    <w:jc w:val="center"/>
                    <w:rPr>
                      <w:bCs/>
                      <w:color w:val="000000"/>
                      <w:szCs w:val="21"/>
                    </w:rPr>
                  </w:pPr>
                  <w:r>
                    <w:rPr>
                      <w:bCs/>
                      <w:color w:val="000000"/>
                      <w:szCs w:val="21"/>
                    </w:rPr>
                    <w:t>密封</w:t>
                  </w:r>
                  <w:r>
                    <w:rPr>
                      <w:rFonts w:hint="eastAsia"/>
                      <w:bCs/>
                      <w:color w:val="000000"/>
                      <w:szCs w:val="21"/>
                    </w:rPr>
                    <w:t>袋装</w:t>
                  </w:r>
                </w:p>
              </w:tc>
              <w:tc>
                <w:tcPr>
                  <w:tcW w:w="400" w:type="pct"/>
                  <w:vAlign w:val="center"/>
                </w:tcPr>
                <w:p>
                  <w:pPr>
                    <w:tabs>
                      <w:tab w:val="left" w:pos="0"/>
                    </w:tabs>
                    <w:jc w:val="center"/>
                    <w:rPr>
                      <w:bCs/>
                      <w:color w:val="000000"/>
                      <w:szCs w:val="21"/>
                    </w:rPr>
                  </w:pPr>
                  <w:r>
                    <w:rPr>
                      <w:bCs/>
                      <w:color w:val="000000"/>
                      <w:szCs w:val="21"/>
                    </w:rPr>
                    <w:t>5t</w:t>
                  </w:r>
                </w:p>
              </w:tc>
              <w:tc>
                <w:tcPr>
                  <w:tcW w:w="457" w:type="pct"/>
                  <w:vAlign w:val="center"/>
                </w:tcPr>
                <w:p>
                  <w:pPr>
                    <w:jc w:val="center"/>
                    <w:rPr>
                      <w:bCs/>
                      <w:color w:val="000000"/>
                      <w:szCs w:val="21"/>
                    </w:rPr>
                  </w:pPr>
                  <w:r>
                    <w:rPr>
                      <w:bCs/>
                      <w:color w:val="000000"/>
                      <w:szCs w:val="21"/>
                    </w:rPr>
                    <w:t>六个月</w:t>
                  </w:r>
                </w:p>
              </w:tc>
            </w:tr>
          </w:tbl>
          <w:p>
            <w:pPr>
              <w:tabs>
                <w:tab w:val="left" w:pos="0"/>
              </w:tabs>
              <w:spacing w:line="360" w:lineRule="auto"/>
              <w:ind w:firstLine="480" w:firstLineChars="200"/>
              <w:rPr>
                <w:color w:val="000000"/>
                <w:sz w:val="24"/>
              </w:rPr>
            </w:pPr>
            <w:r>
              <w:rPr>
                <w:color w:val="000000"/>
                <w:sz w:val="24"/>
              </w:rPr>
              <w:t>本项目的危险废物收集后，放置在厂内的危废暂存间，同时做好危险废物的记录。危废暂存间严格按照</w:t>
            </w:r>
            <w:r>
              <w:rPr>
                <w:rFonts w:hint="eastAsia"/>
                <w:color w:val="000000"/>
                <w:sz w:val="24"/>
              </w:rPr>
              <w:t>《危险废物贮存污染控制标准》（GB18597-2023）</w:t>
            </w:r>
            <w:r>
              <w:rPr>
                <w:color w:val="000000"/>
                <w:sz w:val="24"/>
              </w:rPr>
              <w:t>及其修改单的要求规范建设和维护使用。做好该堆场防雨、防风、防渗、防漏等措施，并制定好该项目固体废物特别是危险废物转移运输中的污染防范及事故应急措施。具体情况如下：</w:t>
            </w:r>
          </w:p>
          <w:p>
            <w:pPr>
              <w:snapToGrid w:val="0"/>
              <w:spacing w:before="60"/>
              <w:jc w:val="center"/>
              <w:rPr>
                <w:b/>
                <w:color w:val="000000"/>
                <w:sz w:val="24"/>
              </w:rPr>
            </w:pPr>
            <w:r>
              <w:rPr>
                <w:b/>
                <w:color w:val="000000"/>
                <w:sz w:val="24"/>
              </w:rPr>
              <w:t>表4-26  本项目与苏环办[2019]327号文符合性分析情况一览表</w:t>
            </w:r>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8"/>
              <w:gridCol w:w="974"/>
              <w:gridCol w:w="3521"/>
              <w:gridCol w:w="3093"/>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jc w:val="center"/>
              </w:trPr>
              <w:tc>
                <w:tcPr>
                  <w:tcW w:w="961" w:type="pct"/>
                  <w:gridSpan w:val="2"/>
                  <w:vAlign w:val="center"/>
                </w:tcPr>
                <w:p>
                  <w:pPr>
                    <w:widowControl/>
                    <w:jc w:val="center"/>
                    <w:rPr>
                      <w:b/>
                      <w:color w:val="000000"/>
                      <w:szCs w:val="21"/>
                    </w:rPr>
                  </w:pPr>
                  <w:r>
                    <w:rPr>
                      <w:b/>
                      <w:color w:val="000000"/>
                      <w:szCs w:val="21"/>
                    </w:rPr>
                    <w:t>类别</w:t>
                  </w:r>
                </w:p>
              </w:tc>
              <w:tc>
                <w:tcPr>
                  <w:tcW w:w="1941" w:type="pct"/>
                  <w:vAlign w:val="center"/>
                </w:tcPr>
                <w:p>
                  <w:pPr>
                    <w:widowControl/>
                    <w:jc w:val="center"/>
                    <w:rPr>
                      <w:b/>
                      <w:color w:val="000000"/>
                      <w:szCs w:val="21"/>
                    </w:rPr>
                  </w:pPr>
                  <w:r>
                    <w:rPr>
                      <w:b/>
                      <w:color w:val="000000"/>
                      <w:szCs w:val="21"/>
                    </w:rPr>
                    <w:t>苏环办[2019]327号文件要求</w:t>
                  </w:r>
                </w:p>
              </w:tc>
              <w:tc>
                <w:tcPr>
                  <w:tcW w:w="1705" w:type="pct"/>
                  <w:vAlign w:val="center"/>
                </w:tcPr>
                <w:p>
                  <w:pPr>
                    <w:widowControl/>
                    <w:jc w:val="center"/>
                    <w:rPr>
                      <w:b/>
                      <w:color w:val="000000"/>
                      <w:szCs w:val="21"/>
                    </w:rPr>
                  </w:pPr>
                  <w:r>
                    <w:rPr>
                      <w:b/>
                      <w:color w:val="000000"/>
                      <w:szCs w:val="21"/>
                    </w:rPr>
                    <w:t>本项目拟建设情况</w:t>
                  </w:r>
                </w:p>
              </w:tc>
              <w:tc>
                <w:tcPr>
                  <w:tcW w:w="391" w:type="pct"/>
                  <w:vAlign w:val="center"/>
                </w:tcPr>
                <w:p>
                  <w:pPr>
                    <w:widowControl/>
                    <w:jc w:val="center"/>
                    <w:rPr>
                      <w:b/>
                      <w:color w:val="000000"/>
                      <w:szCs w:val="21"/>
                    </w:rPr>
                  </w:pPr>
                  <w:r>
                    <w:rPr>
                      <w:b/>
                      <w:color w:val="000000"/>
                      <w:szCs w:val="21"/>
                    </w:rPr>
                    <w:t>是否</w:t>
                  </w:r>
                </w:p>
                <w:p>
                  <w:pPr>
                    <w:widowControl/>
                    <w:jc w:val="center"/>
                    <w:rPr>
                      <w:b/>
                      <w:color w:val="000000"/>
                      <w:szCs w:val="21"/>
                    </w:rPr>
                  </w:pPr>
                  <w:r>
                    <w:rPr>
                      <w:b/>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31" w:hRule="atLeast"/>
                <w:jc w:val="center"/>
              </w:trPr>
              <w:tc>
                <w:tcPr>
                  <w:tcW w:w="424" w:type="pct"/>
                  <w:vMerge w:val="restart"/>
                  <w:vAlign w:val="center"/>
                </w:tcPr>
                <w:p>
                  <w:pPr>
                    <w:widowControl/>
                    <w:adjustRightInd w:val="0"/>
                    <w:snapToGrid w:val="0"/>
                    <w:jc w:val="center"/>
                    <w:textAlignment w:val="baseline"/>
                    <w:rPr>
                      <w:color w:val="000000"/>
                      <w:spacing w:val="4"/>
                      <w:kern w:val="0"/>
                      <w:szCs w:val="21"/>
                    </w:rPr>
                  </w:pPr>
                  <w:r>
                    <w:rPr>
                      <w:color w:val="000000"/>
                      <w:spacing w:val="4"/>
                      <w:kern w:val="0"/>
                      <w:szCs w:val="21"/>
                    </w:rPr>
                    <w:t>三、加强危险废物申报管理</w:t>
                  </w:r>
                </w:p>
              </w:tc>
              <w:tc>
                <w:tcPr>
                  <w:tcW w:w="537" w:type="pct"/>
                  <w:vMerge w:val="restart"/>
                  <w:vAlign w:val="center"/>
                </w:tcPr>
                <w:p>
                  <w:pPr>
                    <w:widowControl/>
                    <w:adjustRightInd w:val="0"/>
                    <w:snapToGrid w:val="0"/>
                    <w:jc w:val="center"/>
                    <w:textAlignment w:val="baseline"/>
                    <w:rPr>
                      <w:color w:val="000000"/>
                      <w:spacing w:val="4"/>
                      <w:kern w:val="0"/>
                      <w:szCs w:val="21"/>
                    </w:rPr>
                  </w:pPr>
                  <w:r>
                    <w:rPr>
                      <w:color w:val="000000"/>
                      <w:spacing w:val="4"/>
                      <w:kern w:val="0"/>
                      <w:szCs w:val="21"/>
                    </w:rPr>
                    <w:t>（五）强化危险废物申报登记。</w:t>
                  </w:r>
                </w:p>
              </w:tc>
              <w:tc>
                <w:tcPr>
                  <w:tcW w:w="1941" w:type="pct"/>
                  <w:vAlign w:val="center"/>
                </w:tcPr>
                <w:p>
                  <w:pPr>
                    <w:widowControl/>
                    <w:jc w:val="center"/>
                    <w:rPr>
                      <w:bCs/>
                      <w:color w:val="000000"/>
                      <w:szCs w:val="21"/>
                    </w:rPr>
                  </w:pPr>
                  <w:r>
                    <w:rPr>
                      <w:bCs/>
                      <w:color w:val="000000"/>
                      <w:szCs w:val="21"/>
                    </w:rPr>
                    <w:t>危险废物产生单位应按规定申报危险废物产生、贮存、转移、利用处置等信息，制定危险废物年度管理计划，并在“江苏省危险废物动态管理信息系统”中备案。</w:t>
                  </w:r>
                </w:p>
              </w:tc>
              <w:tc>
                <w:tcPr>
                  <w:tcW w:w="1705" w:type="pct"/>
                  <w:vAlign w:val="center"/>
                </w:tcPr>
                <w:p>
                  <w:pPr>
                    <w:widowControl/>
                    <w:jc w:val="center"/>
                    <w:rPr>
                      <w:bCs/>
                      <w:color w:val="000000"/>
                      <w:szCs w:val="21"/>
                    </w:rPr>
                  </w:pPr>
                  <w:r>
                    <w:rPr>
                      <w:bCs/>
                      <w:color w:val="000000"/>
                      <w:szCs w:val="21"/>
                    </w:rPr>
                    <w:t>本项目建成后将按规定申报危险废物产生、贮存、转移、利用处置等信息，制定危险废物年度管理计划，并在“江苏省危险废物动态管理信息系统”中备案。</w:t>
                  </w:r>
                </w:p>
              </w:tc>
              <w:tc>
                <w:tcPr>
                  <w:tcW w:w="391" w:type="pct"/>
                  <w:vAlign w:val="center"/>
                </w:tcPr>
                <w:p>
                  <w:pPr>
                    <w:widowControl/>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8" w:hRule="atLeast"/>
                <w:jc w:val="center"/>
              </w:trPr>
              <w:tc>
                <w:tcPr>
                  <w:tcW w:w="424" w:type="pct"/>
                  <w:vMerge w:val="continue"/>
                  <w:vAlign w:val="center"/>
                </w:tcPr>
                <w:p>
                  <w:pPr>
                    <w:widowControl/>
                    <w:adjustRightInd w:val="0"/>
                    <w:snapToGrid w:val="0"/>
                    <w:jc w:val="center"/>
                    <w:textAlignment w:val="baseline"/>
                    <w:rPr>
                      <w:color w:val="000000"/>
                      <w:spacing w:val="4"/>
                      <w:kern w:val="0"/>
                      <w:szCs w:val="21"/>
                    </w:rPr>
                  </w:pPr>
                </w:p>
              </w:tc>
              <w:tc>
                <w:tcPr>
                  <w:tcW w:w="537" w:type="pct"/>
                  <w:vMerge w:val="continue"/>
                  <w:vAlign w:val="center"/>
                </w:tcPr>
                <w:p>
                  <w:pPr>
                    <w:widowControl/>
                    <w:adjustRightInd w:val="0"/>
                    <w:snapToGrid w:val="0"/>
                    <w:jc w:val="center"/>
                    <w:textAlignment w:val="baseline"/>
                    <w:rPr>
                      <w:color w:val="000000"/>
                      <w:spacing w:val="4"/>
                      <w:kern w:val="0"/>
                      <w:szCs w:val="21"/>
                    </w:rPr>
                  </w:pPr>
                </w:p>
              </w:tc>
              <w:tc>
                <w:tcPr>
                  <w:tcW w:w="1941" w:type="pct"/>
                  <w:vAlign w:val="center"/>
                </w:tcPr>
                <w:p>
                  <w:pPr>
                    <w:widowControl/>
                    <w:jc w:val="center"/>
                    <w:rPr>
                      <w:bCs/>
                      <w:color w:val="000000"/>
                      <w:szCs w:val="21"/>
                    </w:rPr>
                  </w:pPr>
                  <w:r>
                    <w:rPr>
                      <w:bCs/>
                      <w:color w:val="000000"/>
                      <w:szCs w:val="21"/>
                    </w:rPr>
                    <w:t>危险废物产生企业应结合自身实际，建立危险废物台账，如实记载危险废物的种类、数量、性质、产生环节、流向、贮存、利用处置等信息，并在“江苏省危险废物动态管理信息系统”中进行如实规范申报，申报数据应与台账、管理计划数据相一致。</w:t>
                  </w:r>
                </w:p>
              </w:tc>
              <w:tc>
                <w:tcPr>
                  <w:tcW w:w="1705" w:type="pct"/>
                  <w:vAlign w:val="center"/>
                </w:tcPr>
                <w:p>
                  <w:pPr>
                    <w:widowControl/>
                    <w:jc w:val="center"/>
                    <w:rPr>
                      <w:bCs/>
                      <w:color w:val="000000"/>
                      <w:szCs w:val="21"/>
                    </w:rPr>
                  </w:pPr>
                  <w:r>
                    <w:rPr>
                      <w:bCs/>
                      <w:color w:val="000000"/>
                      <w:szCs w:val="21"/>
                    </w:rPr>
                    <w:t>本项目建成后将按规定建立危险废物台账，如实记载危险废物的种类、数量、性质、产生环节、流向、贮存、利用处置等信息，并在“江苏省危险废物动态管理信息系统”中进行如实规范申报，申报数据应与台账、管理计划数据相一致。</w:t>
                  </w:r>
                </w:p>
              </w:tc>
              <w:tc>
                <w:tcPr>
                  <w:tcW w:w="391" w:type="pct"/>
                  <w:vAlign w:val="center"/>
                </w:tcPr>
                <w:p>
                  <w:pPr>
                    <w:widowControl/>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9" w:hRule="atLeast"/>
                <w:jc w:val="center"/>
              </w:trPr>
              <w:tc>
                <w:tcPr>
                  <w:tcW w:w="424" w:type="pct"/>
                  <w:vMerge w:val="continue"/>
                  <w:vAlign w:val="center"/>
                </w:tcPr>
                <w:p>
                  <w:pPr>
                    <w:widowControl/>
                    <w:adjustRightInd w:val="0"/>
                    <w:snapToGrid w:val="0"/>
                    <w:jc w:val="center"/>
                    <w:textAlignment w:val="baseline"/>
                    <w:rPr>
                      <w:color w:val="000000"/>
                      <w:spacing w:val="4"/>
                      <w:kern w:val="0"/>
                      <w:szCs w:val="21"/>
                    </w:rPr>
                  </w:pPr>
                </w:p>
              </w:tc>
              <w:tc>
                <w:tcPr>
                  <w:tcW w:w="537" w:type="pct"/>
                  <w:vAlign w:val="center"/>
                </w:tcPr>
                <w:p>
                  <w:pPr>
                    <w:widowControl/>
                    <w:adjustRightInd w:val="0"/>
                    <w:snapToGrid w:val="0"/>
                    <w:jc w:val="center"/>
                    <w:textAlignment w:val="baseline"/>
                    <w:rPr>
                      <w:color w:val="000000"/>
                      <w:spacing w:val="4"/>
                      <w:kern w:val="0"/>
                      <w:szCs w:val="21"/>
                    </w:rPr>
                  </w:pPr>
                  <w:r>
                    <w:rPr>
                      <w:color w:val="000000"/>
                      <w:spacing w:val="4"/>
                      <w:kern w:val="0"/>
                      <w:szCs w:val="21"/>
                    </w:rPr>
                    <w:t>（六）落实信息公开制度。</w:t>
                  </w:r>
                </w:p>
              </w:tc>
              <w:tc>
                <w:tcPr>
                  <w:tcW w:w="1941" w:type="pct"/>
                  <w:vAlign w:val="center"/>
                </w:tcPr>
                <w:p>
                  <w:pPr>
                    <w:widowControl/>
                    <w:jc w:val="center"/>
                    <w:rPr>
                      <w:bCs/>
                      <w:color w:val="000000"/>
                      <w:szCs w:val="21"/>
                    </w:rPr>
                  </w:pPr>
                  <w:r>
                    <w:rPr>
                      <w:bCs/>
                      <w:color w:val="000000"/>
                      <w:szCs w:val="21"/>
                    </w:rPr>
                    <w:t>各地生态环境部门应督促危险废物产生单位和经营单位按照附件1要求在厂区门口显著位置设置危险废物信息公开栏，主动公开危险废物产生、利用处置等情况；企业有官方网站的，在官网上同时公开相关信息。</w:t>
                  </w:r>
                </w:p>
              </w:tc>
              <w:tc>
                <w:tcPr>
                  <w:tcW w:w="1705" w:type="pct"/>
                  <w:vAlign w:val="center"/>
                </w:tcPr>
                <w:p>
                  <w:pPr>
                    <w:widowControl/>
                    <w:jc w:val="center"/>
                    <w:rPr>
                      <w:bCs/>
                      <w:color w:val="000000"/>
                      <w:szCs w:val="21"/>
                    </w:rPr>
                  </w:pPr>
                  <w:r>
                    <w:rPr>
                      <w:bCs/>
                      <w:color w:val="000000"/>
                      <w:szCs w:val="21"/>
                    </w:rPr>
                    <w:t>本项目建成后将按要求在厂区门口显著位置设置危险废物信息公开栏，主动公开危险废物产生、利用处置等情况并在官网上同时公开相关信息。</w:t>
                  </w:r>
                </w:p>
              </w:tc>
              <w:tc>
                <w:tcPr>
                  <w:tcW w:w="391" w:type="pct"/>
                  <w:vAlign w:val="center"/>
                </w:tcPr>
                <w:p>
                  <w:pPr>
                    <w:widowControl/>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4" w:hRule="atLeast"/>
                <w:jc w:val="center"/>
              </w:trPr>
              <w:tc>
                <w:tcPr>
                  <w:tcW w:w="424" w:type="pct"/>
                  <w:vMerge w:val="restart"/>
                  <w:vAlign w:val="center"/>
                </w:tcPr>
                <w:p>
                  <w:pPr>
                    <w:widowControl/>
                    <w:adjustRightInd w:val="0"/>
                    <w:snapToGrid w:val="0"/>
                    <w:jc w:val="center"/>
                    <w:textAlignment w:val="baseline"/>
                    <w:rPr>
                      <w:color w:val="000000"/>
                      <w:spacing w:val="4"/>
                      <w:kern w:val="0"/>
                      <w:szCs w:val="21"/>
                    </w:rPr>
                  </w:pPr>
                  <w:r>
                    <w:rPr>
                      <w:color w:val="000000"/>
                      <w:spacing w:val="4"/>
                      <w:kern w:val="0"/>
                      <w:szCs w:val="21"/>
                    </w:rPr>
                    <w:t>四、规范危险废物收集贮存</w:t>
                  </w:r>
                </w:p>
              </w:tc>
              <w:tc>
                <w:tcPr>
                  <w:tcW w:w="537" w:type="pct"/>
                  <w:vAlign w:val="center"/>
                </w:tcPr>
                <w:p>
                  <w:pPr>
                    <w:widowControl/>
                    <w:adjustRightInd w:val="0"/>
                    <w:snapToGrid w:val="0"/>
                    <w:jc w:val="center"/>
                    <w:textAlignment w:val="baseline"/>
                    <w:rPr>
                      <w:color w:val="000000"/>
                      <w:spacing w:val="4"/>
                      <w:kern w:val="0"/>
                      <w:szCs w:val="21"/>
                    </w:rPr>
                  </w:pPr>
                  <w:r>
                    <w:rPr>
                      <w:color w:val="000000"/>
                      <w:spacing w:val="4"/>
                      <w:kern w:val="0"/>
                      <w:szCs w:val="21"/>
                    </w:rPr>
                    <w:t>（八）完善危险废物</w:t>
                  </w:r>
                </w:p>
                <w:p>
                  <w:pPr>
                    <w:widowControl/>
                    <w:adjustRightInd w:val="0"/>
                    <w:snapToGrid w:val="0"/>
                    <w:jc w:val="center"/>
                    <w:textAlignment w:val="baseline"/>
                    <w:rPr>
                      <w:color w:val="000000"/>
                      <w:spacing w:val="4"/>
                      <w:kern w:val="0"/>
                      <w:szCs w:val="21"/>
                    </w:rPr>
                  </w:pPr>
                  <w:r>
                    <w:rPr>
                      <w:color w:val="000000"/>
                      <w:spacing w:val="4"/>
                      <w:kern w:val="0"/>
                      <w:szCs w:val="21"/>
                    </w:rPr>
                    <w:t>收集体系。</w:t>
                  </w:r>
                </w:p>
              </w:tc>
              <w:tc>
                <w:tcPr>
                  <w:tcW w:w="1941" w:type="pct"/>
                  <w:vAlign w:val="center"/>
                </w:tcPr>
                <w:p>
                  <w:pPr>
                    <w:widowControl/>
                    <w:jc w:val="center"/>
                    <w:rPr>
                      <w:bCs/>
                      <w:color w:val="000000"/>
                      <w:szCs w:val="21"/>
                    </w:rPr>
                  </w:pPr>
                  <w:r>
                    <w:rPr>
                      <w:bCs/>
                      <w:color w:val="000000"/>
                      <w:szCs w:val="21"/>
                    </w:rPr>
                    <w:t>加强危险废物分类收集，鼓励经营单位培育专业化服务队伍。</w:t>
                  </w:r>
                </w:p>
              </w:tc>
              <w:tc>
                <w:tcPr>
                  <w:tcW w:w="1705" w:type="pct"/>
                  <w:vAlign w:val="center"/>
                </w:tcPr>
                <w:p>
                  <w:pPr>
                    <w:widowControl/>
                    <w:jc w:val="center"/>
                    <w:rPr>
                      <w:bCs/>
                      <w:color w:val="000000"/>
                      <w:szCs w:val="21"/>
                    </w:rPr>
                  </w:pPr>
                  <w:r>
                    <w:rPr>
                      <w:bCs/>
                      <w:color w:val="000000"/>
                      <w:szCs w:val="21"/>
                    </w:rPr>
                    <w:t>本项目建成后将危险废物严格实行分类收集。</w:t>
                  </w:r>
                </w:p>
              </w:tc>
              <w:tc>
                <w:tcPr>
                  <w:tcW w:w="391" w:type="pct"/>
                  <w:vAlign w:val="center"/>
                </w:tcPr>
                <w:p>
                  <w:pPr>
                    <w:widowControl/>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424" w:type="pct"/>
                  <w:vMerge w:val="continue"/>
                  <w:vAlign w:val="center"/>
                </w:tcPr>
                <w:p>
                  <w:pPr>
                    <w:widowControl/>
                    <w:adjustRightInd w:val="0"/>
                    <w:snapToGrid w:val="0"/>
                    <w:jc w:val="center"/>
                    <w:textAlignment w:val="baseline"/>
                    <w:rPr>
                      <w:color w:val="000000"/>
                      <w:spacing w:val="4"/>
                      <w:kern w:val="0"/>
                      <w:szCs w:val="21"/>
                    </w:rPr>
                  </w:pPr>
                </w:p>
              </w:tc>
              <w:tc>
                <w:tcPr>
                  <w:tcW w:w="537" w:type="pct"/>
                  <w:vMerge w:val="restart"/>
                  <w:vAlign w:val="center"/>
                </w:tcPr>
                <w:p>
                  <w:pPr>
                    <w:widowControl/>
                    <w:adjustRightInd w:val="0"/>
                    <w:snapToGrid w:val="0"/>
                    <w:jc w:val="center"/>
                    <w:textAlignment w:val="baseline"/>
                    <w:rPr>
                      <w:color w:val="000000"/>
                      <w:spacing w:val="4"/>
                      <w:kern w:val="0"/>
                      <w:szCs w:val="21"/>
                    </w:rPr>
                  </w:pPr>
                  <w:r>
                    <w:rPr>
                      <w:color w:val="000000"/>
                      <w:spacing w:val="4"/>
                      <w:kern w:val="0"/>
                      <w:szCs w:val="21"/>
                    </w:rPr>
                    <w:t>（九）规范危险废物贮存设施。</w:t>
                  </w:r>
                </w:p>
              </w:tc>
              <w:tc>
                <w:tcPr>
                  <w:tcW w:w="1941" w:type="pct"/>
                  <w:vAlign w:val="center"/>
                </w:tcPr>
                <w:p>
                  <w:pPr>
                    <w:widowControl/>
                    <w:jc w:val="center"/>
                    <w:rPr>
                      <w:bCs/>
                      <w:color w:val="000000"/>
                      <w:szCs w:val="21"/>
                    </w:rPr>
                  </w:pPr>
                  <w:r>
                    <w:rPr>
                      <w:bCs/>
                      <w:color w:val="000000"/>
                      <w:szCs w:val="21"/>
                    </w:rPr>
                    <w:t>各地生态环境部门应督促企业严格执行《省生态环境厅关于印发江苏省危险废物贮存规范化管理专项整治行动方案的通知》（苏环办〔2019〕149 号）要求，按照《环境保护图形标志固体废物贮存（处置）场》（GB15562.2-1995）和危险废物识别标识设置规范（见附件1）设置标志，配备通讯设备、照明设施和消防设施，设置气体导出口及气体净化装置，确保废气达标排放；在出入口、设施内部、危险废物运输车辆通道等关键位按照危险废物贮存设施视频监控布设要求（见附件2）设置视频监控，并与中控室联网。鼓励有条件的企业采用云存储方式保存视频监控数据。</w:t>
                  </w:r>
                </w:p>
              </w:tc>
              <w:tc>
                <w:tcPr>
                  <w:tcW w:w="1705" w:type="pct"/>
                  <w:vAlign w:val="center"/>
                </w:tcPr>
                <w:p>
                  <w:pPr>
                    <w:widowControl/>
                    <w:jc w:val="center"/>
                    <w:rPr>
                      <w:bCs/>
                      <w:color w:val="000000"/>
                      <w:szCs w:val="21"/>
                    </w:rPr>
                  </w:pPr>
                  <w:r>
                    <w:rPr>
                      <w:bCs/>
                      <w:color w:val="000000"/>
                      <w:szCs w:val="21"/>
                    </w:rPr>
                    <w:t>本项目建成后将严格执行《省生态环境厅关于印发江苏省危险废物贮存规范化管理专项整治行动方案的通知》（苏环办〔2019〕149 号）要求，按照《环境保护图形标志固体废物贮存（处置）场》（GB 15562.2-1995）和危险废物识别标识设置规范设置标志，配备通讯设备、照明设施和消防设施，危废暂存场所无废气排放；拟在出入口、设施内部、危险废物运输车辆通道等关键位置按照危险废物贮存设施视频监控布设要求设置视频监控，并与中控室联网。</w:t>
                  </w:r>
                </w:p>
              </w:tc>
              <w:tc>
                <w:tcPr>
                  <w:tcW w:w="391" w:type="pct"/>
                  <w:vAlign w:val="center"/>
                </w:tcPr>
                <w:p>
                  <w:pPr>
                    <w:widowControl/>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424" w:type="pct"/>
                  <w:vMerge w:val="continue"/>
                  <w:vAlign w:val="center"/>
                </w:tcPr>
                <w:p>
                  <w:pPr>
                    <w:widowControl/>
                    <w:adjustRightInd w:val="0"/>
                    <w:snapToGrid w:val="0"/>
                    <w:jc w:val="center"/>
                    <w:textAlignment w:val="baseline"/>
                    <w:rPr>
                      <w:color w:val="000000"/>
                      <w:spacing w:val="4"/>
                      <w:kern w:val="0"/>
                      <w:szCs w:val="21"/>
                    </w:rPr>
                  </w:pPr>
                </w:p>
              </w:tc>
              <w:tc>
                <w:tcPr>
                  <w:tcW w:w="537" w:type="pct"/>
                  <w:vMerge w:val="continue"/>
                  <w:vAlign w:val="center"/>
                </w:tcPr>
                <w:p>
                  <w:pPr>
                    <w:widowControl/>
                    <w:adjustRightInd w:val="0"/>
                    <w:snapToGrid w:val="0"/>
                    <w:jc w:val="center"/>
                    <w:textAlignment w:val="baseline"/>
                    <w:rPr>
                      <w:color w:val="000000"/>
                      <w:spacing w:val="4"/>
                      <w:kern w:val="0"/>
                      <w:szCs w:val="21"/>
                    </w:rPr>
                  </w:pPr>
                </w:p>
              </w:tc>
              <w:tc>
                <w:tcPr>
                  <w:tcW w:w="1941" w:type="pct"/>
                  <w:vAlign w:val="center"/>
                </w:tcPr>
                <w:p>
                  <w:pPr>
                    <w:widowControl/>
                    <w:jc w:val="center"/>
                    <w:rPr>
                      <w:bCs/>
                      <w:color w:val="000000"/>
                      <w:szCs w:val="21"/>
                    </w:rPr>
                  </w:pPr>
                  <w:r>
                    <w:rPr>
                      <w:bCs/>
                      <w:color w:val="000000"/>
                      <w:szCs w:val="21"/>
                    </w:rPr>
                    <w:t>企业应根据危险废物的种类和特性进行分区、分类贮存，设置防雨、防火、防雷、防扬散、防渗漏装置及泄漏液体收集装置。</w:t>
                  </w:r>
                </w:p>
              </w:tc>
              <w:tc>
                <w:tcPr>
                  <w:tcW w:w="1705" w:type="pct"/>
                  <w:vAlign w:val="center"/>
                </w:tcPr>
                <w:p>
                  <w:pPr>
                    <w:widowControl/>
                    <w:jc w:val="center"/>
                    <w:rPr>
                      <w:bCs/>
                      <w:color w:val="000000"/>
                      <w:szCs w:val="21"/>
                    </w:rPr>
                  </w:pPr>
                  <w:r>
                    <w:rPr>
                      <w:bCs/>
                      <w:color w:val="000000"/>
                      <w:szCs w:val="21"/>
                    </w:rPr>
                    <w:t>本项目建成后将根据危险废物的种类和特性进行分区、分类贮存，设置防雨、防火、防雷、防扬散、防渗漏装置及泄漏液体收集装置。</w:t>
                  </w:r>
                </w:p>
              </w:tc>
              <w:tc>
                <w:tcPr>
                  <w:tcW w:w="391" w:type="pct"/>
                  <w:vAlign w:val="center"/>
                </w:tcPr>
                <w:p>
                  <w:pPr>
                    <w:widowControl/>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50" w:hRule="atLeast"/>
                <w:jc w:val="center"/>
              </w:trPr>
              <w:tc>
                <w:tcPr>
                  <w:tcW w:w="424" w:type="pct"/>
                  <w:vAlign w:val="center"/>
                </w:tcPr>
                <w:p>
                  <w:pPr>
                    <w:widowControl/>
                    <w:adjustRightInd w:val="0"/>
                    <w:snapToGrid w:val="0"/>
                    <w:jc w:val="center"/>
                    <w:textAlignment w:val="baseline"/>
                    <w:rPr>
                      <w:color w:val="000000"/>
                      <w:spacing w:val="4"/>
                      <w:kern w:val="0"/>
                      <w:szCs w:val="21"/>
                    </w:rPr>
                  </w:pPr>
                  <w:r>
                    <w:rPr>
                      <w:color w:val="000000"/>
                      <w:spacing w:val="4"/>
                      <w:kern w:val="0"/>
                      <w:szCs w:val="21"/>
                    </w:rPr>
                    <w:t>五强化危险废物转移管理</w:t>
                  </w:r>
                </w:p>
              </w:tc>
              <w:tc>
                <w:tcPr>
                  <w:tcW w:w="537" w:type="pct"/>
                  <w:vAlign w:val="center"/>
                </w:tcPr>
                <w:p>
                  <w:pPr>
                    <w:widowControl/>
                    <w:adjustRightInd w:val="0"/>
                    <w:snapToGrid w:val="0"/>
                    <w:jc w:val="center"/>
                    <w:textAlignment w:val="baseline"/>
                    <w:rPr>
                      <w:color w:val="000000"/>
                      <w:spacing w:val="4"/>
                      <w:kern w:val="0"/>
                      <w:szCs w:val="21"/>
                    </w:rPr>
                  </w:pPr>
                  <w:r>
                    <w:rPr>
                      <w:color w:val="000000"/>
                      <w:spacing w:val="4"/>
                      <w:kern w:val="0"/>
                      <w:szCs w:val="21"/>
                    </w:rPr>
                    <w:t>（十）严 格危险废物转移环境监管。</w:t>
                  </w:r>
                </w:p>
              </w:tc>
              <w:tc>
                <w:tcPr>
                  <w:tcW w:w="1941" w:type="pct"/>
                  <w:vAlign w:val="center"/>
                </w:tcPr>
                <w:p>
                  <w:pPr>
                    <w:widowControl/>
                    <w:jc w:val="center"/>
                    <w:rPr>
                      <w:bCs/>
                      <w:color w:val="000000"/>
                      <w:szCs w:val="21"/>
                    </w:rPr>
                  </w:pPr>
                  <w:r>
                    <w:rPr>
                      <w:bCs/>
                      <w:color w:val="000000"/>
                      <w:szCs w:val="21"/>
                    </w:rPr>
                    <w:t>危险废物产生、经营企业在省内转移时要选择有资质并能利用“电子运单管理系统”进行信息比对的危险货物道路运输企业承运危险废物。</w:t>
                  </w:r>
                </w:p>
              </w:tc>
              <w:tc>
                <w:tcPr>
                  <w:tcW w:w="1705" w:type="pct"/>
                  <w:vAlign w:val="center"/>
                </w:tcPr>
                <w:p>
                  <w:pPr>
                    <w:widowControl/>
                    <w:jc w:val="center"/>
                    <w:rPr>
                      <w:bCs/>
                      <w:color w:val="000000"/>
                      <w:szCs w:val="21"/>
                    </w:rPr>
                  </w:pPr>
                  <w:r>
                    <w:rPr>
                      <w:bCs/>
                      <w:color w:val="000000"/>
                      <w:szCs w:val="21"/>
                    </w:rPr>
                    <w:t>本项目产生的危险废物委托有资质的单位处置，该公司应具有本项目产生的危险废物对应的危险废物经营许可证，在省内转移时将选择有资质并能利用“电子运单管理系统”进行信息比对的危险货物道路运输企业承运危险废物。</w:t>
                  </w:r>
                </w:p>
              </w:tc>
              <w:tc>
                <w:tcPr>
                  <w:tcW w:w="391" w:type="pct"/>
                  <w:vAlign w:val="center"/>
                </w:tcPr>
                <w:p>
                  <w:pPr>
                    <w:widowControl/>
                    <w:jc w:val="center"/>
                    <w:rPr>
                      <w:bCs/>
                      <w:color w:val="000000"/>
                      <w:szCs w:val="21"/>
                    </w:rPr>
                  </w:pPr>
                  <w:r>
                    <w:rPr>
                      <w:bCs/>
                      <w:color w:val="000000"/>
                      <w:szCs w:val="21"/>
                    </w:rPr>
                    <w:t>符合</w:t>
                  </w:r>
                </w:p>
              </w:tc>
            </w:tr>
          </w:tbl>
          <w:p>
            <w:pPr>
              <w:snapToGrid w:val="0"/>
              <w:spacing w:before="60"/>
              <w:jc w:val="center"/>
              <w:rPr>
                <w:b/>
                <w:color w:val="000000"/>
                <w:sz w:val="24"/>
              </w:rPr>
            </w:pPr>
            <w:r>
              <w:rPr>
                <w:b/>
                <w:color w:val="000000"/>
                <w:sz w:val="24"/>
              </w:rPr>
              <w:t>表4-27  本项目与苏环办[2019]222号文符合性分析情况一览表</w:t>
            </w:r>
          </w:p>
          <w:tbl>
            <w:tblPr>
              <w:tblStyle w:val="20"/>
              <w:tblW w:w="80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86"/>
              <w:gridCol w:w="964"/>
              <w:gridCol w:w="3027"/>
              <w:gridCol w:w="2673"/>
              <w:gridCol w:w="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 w:hRule="atLeast"/>
                <w:jc w:val="center"/>
              </w:trPr>
              <w:tc>
                <w:tcPr>
                  <w:tcW w:w="1650" w:type="dxa"/>
                  <w:gridSpan w:val="2"/>
                  <w:vAlign w:val="center"/>
                </w:tcPr>
                <w:p>
                  <w:pPr>
                    <w:jc w:val="center"/>
                    <w:rPr>
                      <w:b/>
                      <w:color w:val="000000"/>
                      <w:szCs w:val="21"/>
                    </w:rPr>
                  </w:pPr>
                  <w:r>
                    <w:rPr>
                      <w:b/>
                      <w:color w:val="000000"/>
                      <w:szCs w:val="21"/>
                    </w:rPr>
                    <w:t>类别</w:t>
                  </w:r>
                </w:p>
              </w:tc>
              <w:tc>
                <w:tcPr>
                  <w:tcW w:w="3027" w:type="dxa"/>
                  <w:vAlign w:val="center"/>
                </w:tcPr>
                <w:p>
                  <w:pPr>
                    <w:jc w:val="center"/>
                    <w:rPr>
                      <w:b/>
                      <w:color w:val="000000"/>
                      <w:szCs w:val="21"/>
                    </w:rPr>
                  </w:pPr>
                  <w:r>
                    <w:rPr>
                      <w:b/>
                      <w:color w:val="000000"/>
                      <w:szCs w:val="21"/>
                    </w:rPr>
                    <w:t>苏环办[2019]222号文件要求</w:t>
                  </w:r>
                </w:p>
              </w:tc>
              <w:tc>
                <w:tcPr>
                  <w:tcW w:w="2673" w:type="dxa"/>
                  <w:vAlign w:val="center"/>
                </w:tcPr>
                <w:p>
                  <w:pPr>
                    <w:jc w:val="center"/>
                    <w:rPr>
                      <w:b/>
                      <w:color w:val="000000"/>
                      <w:szCs w:val="21"/>
                    </w:rPr>
                  </w:pPr>
                  <w:r>
                    <w:rPr>
                      <w:b/>
                      <w:color w:val="000000"/>
                      <w:szCs w:val="21"/>
                    </w:rPr>
                    <w:t>本项目拟建设情况</w:t>
                  </w:r>
                </w:p>
              </w:tc>
              <w:tc>
                <w:tcPr>
                  <w:tcW w:w="708" w:type="dxa"/>
                  <w:vAlign w:val="center"/>
                </w:tcPr>
                <w:p>
                  <w:pPr>
                    <w:jc w:val="center"/>
                    <w:rPr>
                      <w:b/>
                      <w:color w:val="000000"/>
                      <w:szCs w:val="21"/>
                    </w:rPr>
                  </w:pPr>
                  <w:r>
                    <w:rPr>
                      <w:b/>
                      <w:color w:val="000000"/>
                      <w:szCs w:val="21"/>
                    </w:rPr>
                    <w:t>是否</w:t>
                  </w:r>
                </w:p>
                <w:p>
                  <w:pPr>
                    <w:jc w:val="center"/>
                    <w:rPr>
                      <w:b/>
                      <w:color w:val="000000"/>
                      <w:szCs w:val="21"/>
                    </w:rPr>
                  </w:pPr>
                  <w:r>
                    <w:rPr>
                      <w:b/>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686" w:type="dxa"/>
                  <w:vMerge w:val="restart"/>
                  <w:vAlign w:val="center"/>
                </w:tcPr>
                <w:p>
                  <w:pPr>
                    <w:jc w:val="center"/>
                    <w:rPr>
                      <w:bCs/>
                      <w:color w:val="000000"/>
                      <w:szCs w:val="21"/>
                    </w:rPr>
                  </w:pPr>
                  <w:r>
                    <w:rPr>
                      <w:bCs/>
                      <w:color w:val="000000"/>
                      <w:szCs w:val="21"/>
                    </w:rPr>
                    <w:t>三、加强危险废物申报管理</w:t>
                  </w:r>
                </w:p>
              </w:tc>
              <w:tc>
                <w:tcPr>
                  <w:tcW w:w="964" w:type="dxa"/>
                  <w:vMerge w:val="restart"/>
                  <w:vAlign w:val="center"/>
                </w:tcPr>
                <w:p>
                  <w:pPr>
                    <w:jc w:val="center"/>
                    <w:rPr>
                      <w:bCs/>
                      <w:color w:val="000000"/>
                      <w:szCs w:val="21"/>
                    </w:rPr>
                  </w:pPr>
                  <w:r>
                    <w:rPr>
                      <w:bCs/>
                      <w:color w:val="000000"/>
                      <w:szCs w:val="21"/>
                    </w:rPr>
                    <w:t>（五）强化危险废物申报登记。</w:t>
                  </w:r>
                </w:p>
              </w:tc>
              <w:tc>
                <w:tcPr>
                  <w:tcW w:w="3027" w:type="dxa"/>
                  <w:vAlign w:val="center"/>
                </w:tcPr>
                <w:p>
                  <w:pPr>
                    <w:jc w:val="center"/>
                    <w:rPr>
                      <w:bCs/>
                      <w:color w:val="000000"/>
                      <w:szCs w:val="21"/>
                    </w:rPr>
                  </w:pPr>
                  <w:r>
                    <w:rPr>
                      <w:bCs/>
                      <w:color w:val="000000"/>
                      <w:szCs w:val="21"/>
                    </w:rPr>
                    <w:t>危险废物产生单位应按规定申报危险废物产生、贮存、转移、利用处置等信息，制定危险废物年度管理计划，并在“江苏省危险废物动、态管理信息系统”中备案。</w:t>
                  </w:r>
                </w:p>
              </w:tc>
              <w:tc>
                <w:tcPr>
                  <w:tcW w:w="2673" w:type="dxa"/>
                  <w:vAlign w:val="center"/>
                </w:tcPr>
                <w:p>
                  <w:pPr>
                    <w:jc w:val="center"/>
                    <w:rPr>
                      <w:bCs/>
                      <w:color w:val="000000"/>
                      <w:szCs w:val="21"/>
                    </w:rPr>
                  </w:pPr>
                  <w:r>
                    <w:rPr>
                      <w:bCs/>
                      <w:color w:val="000000"/>
                      <w:szCs w:val="21"/>
                    </w:rPr>
                    <w:t>本项目建成后将按规定申报危险废物产生、贮存、转移、利用处置等信息，制定危险废物年度管理计划，并在“江苏省危险废物动态管理信息系统”中备案。</w:t>
                  </w:r>
                </w:p>
              </w:tc>
              <w:tc>
                <w:tcPr>
                  <w:tcW w:w="708" w:type="dxa"/>
                  <w:vAlign w:val="center"/>
                </w:tcPr>
                <w:p>
                  <w:pPr>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 w:hRule="atLeast"/>
                <w:jc w:val="center"/>
              </w:trPr>
              <w:tc>
                <w:tcPr>
                  <w:tcW w:w="686" w:type="dxa"/>
                  <w:vMerge w:val="continue"/>
                  <w:vAlign w:val="center"/>
                </w:tcPr>
                <w:p>
                  <w:pPr>
                    <w:jc w:val="center"/>
                    <w:rPr>
                      <w:bCs/>
                      <w:color w:val="000000"/>
                      <w:szCs w:val="21"/>
                    </w:rPr>
                  </w:pPr>
                </w:p>
              </w:tc>
              <w:tc>
                <w:tcPr>
                  <w:tcW w:w="964" w:type="dxa"/>
                  <w:vMerge w:val="continue"/>
                  <w:vAlign w:val="center"/>
                </w:tcPr>
                <w:p>
                  <w:pPr>
                    <w:jc w:val="center"/>
                    <w:rPr>
                      <w:bCs/>
                      <w:color w:val="000000"/>
                      <w:szCs w:val="21"/>
                    </w:rPr>
                  </w:pPr>
                </w:p>
              </w:tc>
              <w:tc>
                <w:tcPr>
                  <w:tcW w:w="3027" w:type="dxa"/>
                  <w:vAlign w:val="center"/>
                </w:tcPr>
                <w:p>
                  <w:pPr>
                    <w:jc w:val="center"/>
                    <w:rPr>
                      <w:bCs/>
                      <w:color w:val="000000"/>
                      <w:szCs w:val="21"/>
                    </w:rPr>
                  </w:pPr>
                  <w:r>
                    <w:rPr>
                      <w:bCs/>
                      <w:color w:val="000000"/>
                      <w:szCs w:val="21"/>
                    </w:rPr>
                    <w:t>危险废物产生企业应结合自身实际，建立危险废物台账，如实记载危险废物的种类、数量、性质、产生环节、流向、贮存、利用处置等信息，并在“江苏省危险废物动态管理信息系统”中进行如实规范申报，申报数据应与台账、管理计划数据相一致。</w:t>
                  </w:r>
                </w:p>
              </w:tc>
              <w:tc>
                <w:tcPr>
                  <w:tcW w:w="2673" w:type="dxa"/>
                  <w:vAlign w:val="center"/>
                </w:tcPr>
                <w:p>
                  <w:pPr>
                    <w:jc w:val="center"/>
                    <w:rPr>
                      <w:bCs/>
                      <w:color w:val="000000"/>
                      <w:szCs w:val="21"/>
                    </w:rPr>
                  </w:pPr>
                  <w:r>
                    <w:rPr>
                      <w:bCs/>
                      <w:color w:val="000000"/>
                      <w:szCs w:val="21"/>
                    </w:rPr>
                    <w:t>本项目建成后将按规定建立危险废物台账，如实记载危险废物的种类、数量、性质、产生环节、流向、贮存、利用处置等信息，并在“江苏省危险废物动态管理信息系统”中进行如实规范申报，申报数据应与台账、管理计划数据相一致。</w:t>
                  </w:r>
                </w:p>
              </w:tc>
              <w:tc>
                <w:tcPr>
                  <w:tcW w:w="708" w:type="dxa"/>
                  <w:vAlign w:val="center"/>
                </w:tcPr>
                <w:p>
                  <w:pPr>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7" w:hRule="atLeast"/>
                <w:jc w:val="center"/>
              </w:trPr>
              <w:tc>
                <w:tcPr>
                  <w:tcW w:w="686" w:type="dxa"/>
                  <w:vMerge w:val="continue"/>
                  <w:vAlign w:val="center"/>
                </w:tcPr>
                <w:p>
                  <w:pPr>
                    <w:jc w:val="center"/>
                    <w:rPr>
                      <w:bCs/>
                      <w:color w:val="000000"/>
                      <w:szCs w:val="21"/>
                    </w:rPr>
                  </w:pPr>
                </w:p>
              </w:tc>
              <w:tc>
                <w:tcPr>
                  <w:tcW w:w="964" w:type="dxa"/>
                  <w:vAlign w:val="center"/>
                </w:tcPr>
                <w:p>
                  <w:pPr>
                    <w:jc w:val="center"/>
                    <w:rPr>
                      <w:bCs/>
                      <w:color w:val="000000"/>
                      <w:szCs w:val="21"/>
                    </w:rPr>
                  </w:pPr>
                  <w:r>
                    <w:rPr>
                      <w:bCs/>
                      <w:color w:val="000000"/>
                      <w:szCs w:val="21"/>
                    </w:rPr>
                    <w:t>（六）落实信息公开制度。</w:t>
                  </w:r>
                </w:p>
              </w:tc>
              <w:tc>
                <w:tcPr>
                  <w:tcW w:w="3027" w:type="dxa"/>
                  <w:vAlign w:val="center"/>
                </w:tcPr>
                <w:p>
                  <w:pPr>
                    <w:jc w:val="center"/>
                    <w:rPr>
                      <w:bCs/>
                      <w:color w:val="000000"/>
                      <w:szCs w:val="21"/>
                    </w:rPr>
                  </w:pPr>
                  <w:r>
                    <w:rPr>
                      <w:bCs/>
                      <w:color w:val="000000"/>
                      <w:szCs w:val="21"/>
                    </w:rPr>
                    <w:t>各地应督促危险废物产生单位和经营单位按照附件1要求在厂区门口显著位置设置危险废物信息公开栏，主动公开危险废物产生、利用处置等情况；企业有官方网站的，在官网上同时公开相关信息。</w:t>
                  </w:r>
                </w:p>
              </w:tc>
              <w:tc>
                <w:tcPr>
                  <w:tcW w:w="2673" w:type="dxa"/>
                  <w:vAlign w:val="center"/>
                </w:tcPr>
                <w:p>
                  <w:pPr>
                    <w:jc w:val="center"/>
                    <w:rPr>
                      <w:bCs/>
                      <w:color w:val="000000"/>
                      <w:szCs w:val="21"/>
                    </w:rPr>
                  </w:pPr>
                  <w:r>
                    <w:rPr>
                      <w:bCs/>
                      <w:color w:val="000000"/>
                      <w:szCs w:val="21"/>
                    </w:rPr>
                    <w:t>本项目建成后将按要求在厂区门口显著位置设置危险废物信息公开栏，主动公开危险废物产生、利用处置等情况并在官网上同时公开相关信息。</w:t>
                  </w:r>
                </w:p>
              </w:tc>
              <w:tc>
                <w:tcPr>
                  <w:tcW w:w="708" w:type="dxa"/>
                  <w:vAlign w:val="center"/>
                </w:tcPr>
                <w:p>
                  <w:pPr>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 w:hRule="atLeast"/>
                <w:jc w:val="center"/>
              </w:trPr>
              <w:tc>
                <w:tcPr>
                  <w:tcW w:w="686" w:type="dxa"/>
                  <w:vMerge w:val="restart"/>
                  <w:vAlign w:val="center"/>
                </w:tcPr>
                <w:p>
                  <w:pPr>
                    <w:jc w:val="center"/>
                    <w:rPr>
                      <w:bCs/>
                      <w:color w:val="000000"/>
                      <w:szCs w:val="21"/>
                    </w:rPr>
                  </w:pPr>
                  <w:r>
                    <w:rPr>
                      <w:bCs/>
                      <w:color w:val="000000"/>
                      <w:szCs w:val="21"/>
                    </w:rPr>
                    <w:t>四、规范危险废物收集贮存</w:t>
                  </w:r>
                </w:p>
              </w:tc>
              <w:tc>
                <w:tcPr>
                  <w:tcW w:w="964" w:type="dxa"/>
                  <w:vAlign w:val="center"/>
                </w:tcPr>
                <w:p>
                  <w:pPr>
                    <w:jc w:val="center"/>
                    <w:rPr>
                      <w:bCs/>
                      <w:color w:val="000000"/>
                      <w:szCs w:val="21"/>
                    </w:rPr>
                  </w:pPr>
                  <w:r>
                    <w:rPr>
                      <w:bCs/>
                      <w:color w:val="000000"/>
                      <w:szCs w:val="21"/>
                    </w:rPr>
                    <w:t>（八）完善危险废物收集体系。</w:t>
                  </w:r>
                </w:p>
              </w:tc>
              <w:tc>
                <w:tcPr>
                  <w:tcW w:w="3027" w:type="dxa"/>
                  <w:vAlign w:val="center"/>
                </w:tcPr>
                <w:p>
                  <w:pPr>
                    <w:jc w:val="center"/>
                    <w:rPr>
                      <w:bCs/>
                      <w:color w:val="000000"/>
                      <w:szCs w:val="21"/>
                    </w:rPr>
                  </w:pPr>
                  <w:r>
                    <w:rPr>
                      <w:bCs/>
                      <w:color w:val="000000"/>
                      <w:szCs w:val="21"/>
                    </w:rPr>
                    <w:t>加强危险废物分类收集，鼓励经营单位培育专业化服务队伍。</w:t>
                  </w:r>
                </w:p>
              </w:tc>
              <w:tc>
                <w:tcPr>
                  <w:tcW w:w="2673" w:type="dxa"/>
                  <w:vAlign w:val="center"/>
                </w:tcPr>
                <w:p>
                  <w:pPr>
                    <w:jc w:val="center"/>
                    <w:rPr>
                      <w:bCs/>
                      <w:color w:val="000000"/>
                      <w:szCs w:val="21"/>
                    </w:rPr>
                  </w:pPr>
                  <w:r>
                    <w:rPr>
                      <w:bCs/>
                      <w:color w:val="000000"/>
                      <w:szCs w:val="21"/>
                    </w:rPr>
                    <w:t>本项目建成后将危险废物严格实行分类收集。</w:t>
                  </w:r>
                </w:p>
              </w:tc>
              <w:tc>
                <w:tcPr>
                  <w:tcW w:w="708" w:type="dxa"/>
                  <w:vAlign w:val="center"/>
                </w:tcPr>
                <w:p>
                  <w:pPr>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686" w:type="dxa"/>
                  <w:vMerge w:val="continue"/>
                  <w:vAlign w:val="center"/>
                </w:tcPr>
                <w:p>
                  <w:pPr>
                    <w:jc w:val="center"/>
                    <w:rPr>
                      <w:bCs/>
                      <w:color w:val="000000"/>
                      <w:szCs w:val="21"/>
                    </w:rPr>
                  </w:pPr>
                </w:p>
              </w:tc>
              <w:tc>
                <w:tcPr>
                  <w:tcW w:w="964" w:type="dxa"/>
                  <w:vMerge w:val="restart"/>
                  <w:vAlign w:val="center"/>
                </w:tcPr>
                <w:p>
                  <w:pPr>
                    <w:jc w:val="center"/>
                    <w:rPr>
                      <w:bCs/>
                      <w:color w:val="000000"/>
                      <w:szCs w:val="21"/>
                    </w:rPr>
                  </w:pPr>
                  <w:r>
                    <w:rPr>
                      <w:bCs/>
                      <w:color w:val="000000"/>
                      <w:szCs w:val="21"/>
                    </w:rPr>
                    <w:t>（九）规范危险废物贮存设施。</w:t>
                  </w:r>
                </w:p>
              </w:tc>
              <w:tc>
                <w:tcPr>
                  <w:tcW w:w="3027" w:type="dxa"/>
                  <w:vAlign w:val="center"/>
                </w:tcPr>
                <w:p>
                  <w:pPr>
                    <w:jc w:val="center"/>
                    <w:rPr>
                      <w:bCs/>
                      <w:color w:val="000000"/>
                      <w:szCs w:val="21"/>
                    </w:rPr>
                  </w:pPr>
                  <w:r>
                    <w:rPr>
                      <w:bCs/>
                      <w:color w:val="000000"/>
                      <w:szCs w:val="21"/>
                    </w:rPr>
                    <w:t>各地应督促企业严格执行《省生态环境厅关于印发江苏省危险废物贮存规范化管理专项整治行动方案的通知》（苏环办〔2019〕149 号）要求，按照《环境保护图形标志固体废物贮存（处置）场》（GB 15562.2-1995）和危险废物识别标识设置规范（见附件1）设置标志，配备通讯设备、照明设施和消防设施，设置气体导出口及气体净化装置，确保废气达标排放；在出入口、设施内部、危险废物运输车辆通道等关键位按照危险废物贮存设施视频监控布设要求（见附件2）设置视频监控，并与中控室联网。鼓励有条件的企业采用云存储方式保存视频监控数据。</w:t>
                  </w:r>
                </w:p>
              </w:tc>
              <w:tc>
                <w:tcPr>
                  <w:tcW w:w="2673" w:type="dxa"/>
                  <w:vAlign w:val="center"/>
                </w:tcPr>
                <w:p>
                  <w:pPr>
                    <w:jc w:val="center"/>
                    <w:rPr>
                      <w:bCs/>
                      <w:color w:val="000000"/>
                      <w:szCs w:val="21"/>
                    </w:rPr>
                  </w:pPr>
                  <w:r>
                    <w:rPr>
                      <w:bCs/>
                      <w:color w:val="000000"/>
                      <w:szCs w:val="21"/>
                    </w:rPr>
                    <w:t>本项目建成后将严格执行《省生态环境厅关于印发江苏省危险废物贮存规范化管理专项整治行动方 案的通知》（苏环办〔2019〕149 号）要求，按照《环境保护图形标志固体废物贮存（处置）场》（GB 15562.2-1995）和危险废物识别标识设置规范设置标志，配备通讯设备、照明设施和消防设施，危废暂存场所无废气排放；拟在出入口、设施内部、危险废物运输车辆通道等关键位置按照危险废物贮存设施视频监控布设要求设置视频监控，并与中控室联网。</w:t>
                  </w:r>
                </w:p>
              </w:tc>
              <w:tc>
                <w:tcPr>
                  <w:tcW w:w="708" w:type="dxa"/>
                  <w:vAlign w:val="center"/>
                </w:tcPr>
                <w:p>
                  <w:pPr>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686" w:type="dxa"/>
                  <w:vMerge w:val="continue"/>
                  <w:vAlign w:val="center"/>
                </w:tcPr>
                <w:p>
                  <w:pPr>
                    <w:jc w:val="center"/>
                    <w:rPr>
                      <w:bCs/>
                      <w:color w:val="000000"/>
                      <w:szCs w:val="21"/>
                    </w:rPr>
                  </w:pPr>
                </w:p>
              </w:tc>
              <w:tc>
                <w:tcPr>
                  <w:tcW w:w="964" w:type="dxa"/>
                  <w:vMerge w:val="continue"/>
                  <w:vAlign w:val="center"/>
                </w:tcPr>
                <w:p>
                  <w:pPr>
                    <w:jc w:val="center"/>
                    <w:rPr>
                      <w:bCs/>
                      <w:color w:val="000000"/>
                      <w:szCs w:val="21"/>
                    </w:rPr>
                  </w:pPr>
                </w:p>
              </w:tc>
              <w:tc>
                <w:tcPr>
                  <w:tcW w:w="3027" w:type="dxa"/>
                  <w:vAlign w:val="center"/>
                </w:tcPr>
                <w:p>
                  <w:pPr>
                    <w:jc w:val="center"/>
                    <w:rPr>
                      <w:bCs/>
                      <w:color w:val="000000"/>
                      <w:szCs w:val="21"/>
                    </w:rPr>
                  </w:pPr>
                  <w:r>
                    <w:rPr>
                      <w:bCs/>
                      <w:color w:val="000000"/>
                      <w:szCs w:val="21"/>
                    </w:rPr>
                    <w:t>企业应根据危险废物的种类和特性进行分区、分类贮存，设置防雨、防火、防雷、防扬散、防渗漏装置及泄漏液体收集装置。</w:t>
                  </w:r>
                </w:p>
              </w:tc>
              <w:tc>
                <w:tcPr>
                  <w:tcW w:w="2673" w:type="dxa"/>
                  <w:vAlign w:val="center"/>
                </w:tcPr>
                <w:p>
                  <w:pPr>
                    <w:jc w:val="center"/>
                    <w:rPr>
                      <w:bCs/>
                      <w:color w:val="000000"/>
                      <w:szCs w:val="21"/>
                    </w:rPr>
                  </w:pPr>
                  <w:r>
                    <w:rPr>
                      <w:bCs/>
                      <w:color w:val="000000"/>
                      <w:szCs w:val="21"/>
                    </w:rPr>
                    <w:t>本项目建成后将根据危险废物的种类和特性进行分区、分类贮存，设置防雨、防火、防雷、防扬散、防渗漏装置及泄漏液体收集装置。</w:t>
                  </w:r>
                </w:p>
              </w:tc>
              <w:tc>
                <w:tcPr>
                  <w:tcW w:w="708" w:type="dxa"/>
                  <w:vAlign w:val="center"/>
                </w:tcPr>
                <w:p>
                  <w:pPr>
                    <w:jc w:val="center"/>
                    <w:rPr>
                      <w:bCs/>
                      <w:color w:val="000000"/>
                      <w:szCs w:val="21"/>
                    </w:rPr>
                  </w:pPr>
                  <w:r>
                    <w:rPr>
                      <w:bCs/>
                      <w:color w:val="000000"/>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686" w:type="dxa"/>
                  <w:vAlign w:val="center"/>
                </w:tcPr>
                <w:p>
                  <w:pPr>
                    <w:jc w:val="center"/>
                    <w:rPr>
                      <w:bCs/>
                      <w:color w:val="000000"/>
                      <w:szCs w:val="21"/>
                    </w:rPr>
                  </w:pPr>
                  <w:r>
                    <w:rPr>
                      <w:bCs/>
                      <w:color w:val="000000"/>
                      <w:szCs w:val="21"/>
                    </w:rPr>
                    <w:t>五、</w:t>
                  </w:r>
                </w:p>
                <w:p>
                  <w:pPr>
                    <w:jc w:val="center"/>
                    <w:rPr>
                      <w:bCs/>
                      <w:color w:val="000000"/>
                      <w:szCs w:val="21"/>
                    </w:rPr>
                  </w:pPr>
                  <w:r>
                    <w:rPr>
                      <w:bCs/>
                      <w:color w:val="000000"/>
                      <w:szCs w:val="21"/>
                    </w:rPr>
                    <w:t>强化</w:t>
                  </w:r>
                </w:p>
                <w:p>
                  <w:pPr>
                    <w:jc w:val="center"/>
                    <w:rPr>
                      <w:bCs/>
                      <w:color w:val="000000"/>
                      <w:szCs w:val="21"/>
                    </w:rPr>
                  </w:pPr>
                  <w:r>
                    <w:rPr>
                      <w:bCs/>
                      <w:color w:val="000000"/>
                      <w:szCs w:val="21"/>
                    </w:rPr>
                    <w:t>危险</w:t>
                  </w:r>
                </w:p>
                <w:p>
                  <w:pPr>
                    <w:jc w:val="center"/>
                    <w:rPr>
                      <w:bCs/>
                      <w:color w:val="000000"/>
                      <w:szCs w:val="21"/>
                    </w:rPr>
                  </w:pPr>
                  <w:r>
                    <w:rPr>
                      <w:bCs/>
                      <w:color w:val="000000"/>
                      <w:szCs w:val="21"/>
                    </w:rPr>
                    <w:t>废物</w:t>
                  </w:r>
                </w:p>
                <w:p>
                  <w:pPr>
                    <w:jc w:val="center"/>
                    <w:rPr>
                      <w:bCs/>
                      <w:color w:val="000000"/>
                      <w:szCs w:val="21"/>
                    </w:rPr>
                  </w:pPr>
                  <w:r>
                    <w:rPr>
                      <w:bCs/>
                      <w:color w:val="000000"/>
                      <w:szCs w:val="21"/>
                    </w:rPr>
                    <w:t>转移</w:t>
                  </w:r>
                </w:p>
                <w:p>
                  <w:pPr>
                    <w:jc w:val="center"/>
                    <w:rPr>
                      <w:bCs/>
                      <w:color w:val="000000"/>
                      <w:szCs w:val="21"/>
                    </w:rPr>
                  </w:pPr>
                  <w:r>
                    <w:rPr>
                      <w:bCs/>
                      <w:color w:val="000000"/>
                      <w:szCs w:val="21"/>
                    </w:rPr>
                    <w:t>管理</w:t>
                  </w:r>
                </w:p>
              </w:tc>
              <w:tc>
                <w:tcPr>
                  <w:tcW w:w="964" w:type="dxa"/>
                  <w:vAlign w:val="center"/>
                </w:tcPr>
                <w:p>
                  <w:pPr>
                    <w:jc w:val="center"/>
                    <w:rPr>
                      <w:bCs/>
                      <w:color w:val="000000"/>
                      <w:szCs w:val="21"/>
                    </w:rPr>
                  </w:pPr>
                  <w:r>
                    <w:rPr>
                      <w:bCs/>
                      <w:color w:val="000000"/>
                      <w:szCs w:val="21"/>
                    </w:rPr>
                    <w:t>（十）严格危险废物转移环境监管。</w:t>
                  </w:r>
                </w:p>
              </w:tc>
              <w:tc>
                <w:tcPr>
                  <w:tcW w:w="3027" w:type="dxa"/>
                  <w:vAlign w:val="center"/>
                </w:tcPr>
                <w:p>
                  <w:pPr>
                    <w:jc w:val="center"/>
                    <w:rPr>
                      <w:bCs/>
                      <w:color w:val="000000"/>
                      <w:szCs w:val="21"/>
                    </w:rPr>
                  </w:pPr>
                  <w:r>
                    <w:rPr>
                      <w:bCs/>
                      <w:color w:val="000000"/>
                      <w:szCs w:val="21"/>
                    </w:rPr>
                    <w:t>危险废物产生、经营企业在省内转移时要选择有资质并能利用“电子运单管理系统”进行信息比对的危险货物道路运输企业承运危险废物。</w:t>
                  </w:r>
                </w:p>
              </w:tc>
              <w:tc>
                <w:tcPr>
                  <w:tcW w:w="2673" w:type="dxa"/>
                  <w:vAlign w:val="center"/>
                </w:tcPr>
                <w:p>
                  <w:pPr>
                    <w:jc w:val="center"/>
                    <w:rPr>
                      <w:bCs/>
                      <w:color w:val="000000"/>
                      <w:szCs w:val="21"/>
                    </w:rPr>
                  </w:pPr>
                  <w:r>
                    <w:rPr>
                      <w:bCs/>
                      <w:color w:val="000000"/>
                      <w:szCs w:val="21"/>
                    </w:rPr>
                    <w:t>本项目产生的危险废物委托有资质的危废单位，该公司具有本项目产生的危险废物对应的危险废物经营许可证，在省内转移时将选择有资质并能利用“电子运单管理系统”进行信息比对的危险货物道路运输企业承运危险废物。</w:t>
                  </w:r>
                </w:p>
              </w:tc>
              <w:tc>
                <w:tcPr>
                  <w:tcW w:w="708" w:type="dxa"/>
                  <w:vAlign w:val="center"/>
                </w:tcPr>
                <w:p>
                  <w:pPr>
                    <w:jc w:val="center"/>
                    <w:rPr>
                      <w:bCs/>
                      <w:color w:val="000000"/>
                      <w:szCs w:val="21"/>
                    </w:rPr>
                  </w:pPr>
                  <w:r>
                    <w:rPr>
                      <w:bCs/>
                      <w:color w:val="000000"/>
                      <w:szCs w:val="21"/>
                    </w:rPr>
                    <w:t>符合</w:t>
                  </w:r>
                </w:p>
              </w:tc>
            </w:tr>
          </w:tbl>
          <w:p>
            <w:pPr>
              <w:tabs>
                <w:tab w:val="left" w:pos="0"/>
              </w:tabs>
              <w:spacing w:line="360" w:lineRule="auto"/>
              <w:ind w:firstLine="480" w:firstLineChars="200"/>
              <w:rPr>
                <w:color w:val="000000"/>
                <w:sz w:val="24"/>
              </w:rPr>
            </w:pPr>
            <w:r>
              <w:rPr>
                <w:color w:val="000000"/>
                <w:sz w:val="24"/>
              </w:rPr>
              <w:t>①在危险废物暂存场所显著位置张贴危险废物的标识，需根据</w:t>
            </w:r>
            <w:r>
              <w:rPr>
                <w:rFonts w:hint="eastAsia"/>
                <w:color w:val="000000"/>
                <w:sz w:val="24"/>
              </w:rPr>
              <w:t>《危险废物贮存污染控制标准》（GB18597-2023）</w:t>
            </w:r>
            <w:r>
              <w:rPr>
                <w:color w:val="000000"/>
                <w:sz w:val="24"/>
              </w:rPr>
              <w:t>附录A和《环境保护图形标志-固体废物贮存（处置）场》（GB15562.2-1995</w:t>
            </w:r>
            <w:r>
              <w:rPr>
                <w:rFonts w:hint="eastAsia"/>
                <w:color w:val="000000"/>
                <w:sz w:val="24"/>
              </w:rPr>
              <w:t>，2023修改</w:t>
            </w:r>
            <w:r>
              <w:rPr>
                <w:color w:val="000000"/>
                <w:sz w:val="24"/>
              </w:rPr>
              <w:t>）所示标签设置危险废物识别。</w:t>
            </w:r>
          </w:p>
          <w:p>
            <w:pPr>
              <w:tabs>
                <w:tab w:val="left" w:pos="0"/>
              </w:tabs>
              <w:spacing w:line="360" w:lineRule="auto"/>
              <w:ind w:firstLine="480" w:firstLineChars="200"/>
              <w:rPr>
                <w:color w:val="000000"/>
                <w:sz w:val="24"/>
              </w:rPr>
            </w:pPr>
            <w:r>
              <w:rPr>
                <w:color w:val="000000"/>
                <w:sz w:val="24"/>
              </w:rPr>
              <w:t>②从源头分类：危险废物包装容器上标识明确；危险废物按种类分别存放，且不同类废物间有明显的间隔，每个贮存区域之间留出搬运通道，同类危险废物可以采取堆叠存放。</w:t>
            </w:r>
          </w:p>
          <w:p>
            <w:pPr>
              <w:tabs>
                <w:tab w:val="left" w:pos="0"/>
                <w:tab w:val="left" w:pos="1200"/>
              </w:tabs>
              <w:spacing w:line="360" w:lineRule="auto"/>
              <w:ind w:firstLine="480" w:firstLineChars="200"/>
              <w:rPr>
                <w:color w:val="000000"/>
                <w:sz w:val="24"/>
              </w:rPr>
            </w:pPr>
            <w:r>
              <w:rPr>
                <w:color w:val="000000"/>
                <w:sz w:val="24"/>
              </w:rPr>
              <w:t>③项目危险废物暂存场所按照</w:t>
            </w:r>
            <w:r>
              <w:rPr>
                <w:rFonts w:hint="eastAsia"/>
                <w:color w:val="000000"/>
                <w:sz w:val="24"/>
              </w:rPr>
              <w:t>《危险废物贮存污染控制标准》（GB18597-2023）</w:t>
            </w:r>
            <w:r>
              <w:rPr>
                <w:color w:val="000000"/>
                <w:sz w:val="24"/>
              </w:rPr>
              <w:t>的要求进行建设，设置防渗、防漏、防雨等措施。地面上层铺设2.5mm的环氧树脂防腐防渗涂层，渗透系数≤10</w:t>
            </w:r>
            <w:r>
              <w:rPr>
                <w:color w:val="000000"/>
                <w:sz w:val="24"/>
                <w:vertAlign w:val="superscript"/>
              </w:rPr>
              <w:t>-10</w:t>
            </w:r>
            <w:r>
              <w:rPr>
                <w:color w:val="000000"/>
                <w:sz w:val="24"/>
              </w:rPr>
              <w:t>cm/s。</w:t>
            </w:r>
          </w:p>
          <w:p>
            <w:pPr>
              <w:tabs>
                <w:tab w:val="left" w:pos="0"/>
                <w:tab w:val="left" w:pos="1200"/>
              </w:tabs>
              <w:spacing w:line="360" w:lineRule="auto"/>
              <w:ind w:firstLine="480" w:firstLineChars="200"/>
              <w:jc w:val="left"/>
              <w:rPr>
                <w:color w:val="000000"/>
                <w:sz w:val="24"/>
              </w:rPr>
            </w:pPr>
            <w:r>
              <w:rPr>
                <w:color w:val="000000"/>
                <w:sz w:val="24"/>
              </w:rPr>
              <w:t>④本项目危险废物必须及时运送至危险废物处置单位进行处置，运输过程必须符合国家及江苏省对危险废物的运输要求。</w:t>
            </w:r>
          </w:p>
          <w:p>
            <w:pPr>
              <w:tabs>
                <w:tab w:val="left" w:pos="0"/>
              </w:tabs>
              <w:spacing w:line="360" w:lineRule="auto"/>
              <w:ind w:firstLine="480" w:firstLineChars="200"/>
              <w:rPr>
                <w:color w:val="000000"/>
                <w:sz w:val="24"/>
              </w:rPr>
            </w:pPr>
            <w:r>
              <w:rPr>
                <w:color w:val="000000"/>
                <w:sz w:val="24"/>
              </w:rPr>
              <w:t>⑤本项目危险废物的转运必须填写“五联单”，且必须符合国家及江苏省对危险废物转运的相关规定。</w:t>
            </w:r>
          </w:p>
          <w:p>
            <w:pPr>
              <w:tabs>
                <w:tab w:val="left" w:pos="0"/>
              </w:tabs>
              <w:spacing w:line="360" w:lineRule="auto"/>
              <w:ind w:firstLine="480" w:firstLineChars="200"/>
              <w:rPr>
                <w:color w:val="000000"/>
                <w:sz w:val="24"/>
              </w:rPr>
            </w:pPr>
            <w:r>
              <w:rPr>
                <w:color w:val="000000"/>
                <w:sz w:val="24"/>
              </w:rPr>
              <w:t>⑥贮存场所地面须作硬化处理，场所应设置警示标志。装载危险废物的容器完好无损。</w:t>
            </w:r>
          </w:p>
          <w:p>
            <w:pPr>
              <w:tabs>
                <w:tab w:val="left" w:pos="0"/>
              </w:tabs>
              <w:spacing w:line="360" w:lineRule="auto"/>
              <w:ind w:firstLine="480" w:firstLineChars="200"/>
              <w:rPr>
                <w:color w:val="000000"/>
                <w:sz w:val="24"/>
              </w:rPr>
            </w:pPr>
            <w:r>
              <w:rPr>
                <w:color w:val="000000"/>
                <w:sz w:val="24"/>
              </w:rPr>
              <w:t>⑦项目应加强危险储存场所的安全防范措施，防止破损、倾倒等情况发生，防止出现危险废物渗滤液、有机废气等二次污染情况。</w:t>
            </w:r>
          </w:p>
          <w:p>
            <w:pPr>
              <w:tabs>
                <w:tab w:val="left" w:pos="0"/>
                <w:tab w:val="left" w:pos="1200"/>
              </w:tabs>
              <w:spacing w:line="360" w:lineRule="auto"/>
              <w:ind w:firstLine="480" w:firstLineChars="200"/>
              <w:jc w:val="left"/>
              <w:rPr>
                <w:color w:val="000000"/>
                <w:sz w:val="24"/>
              </w:rPr>
            </w:pPr>
            <w:r>
              <w:rPr>
                <w:color w:val="000000"/>
                <w:sz w:val="24"/>
              </w:rPr>
              <w:t>⑧在出入口、设施内部、危险废物运输车辆通道等关键位置按照危险废物贮存设施视频监控布设要求设置视频监控，并与中控室联网。</w:t>
            </w:r>
          </w:p>
          <w:p>
            <w:pPr>
              <w:tabs>
                <w:tab w:val="left" w:pos="0"/>
                <w:tab w:val="left" w:pos="1200"/>
              </w:tabs>
              <w:spacing w:line="360" w:lineRule="auto"/>
              <w:ind w:firstLine="480" w:firstLineChars="200"/>
              <w:jc w:val="left"/>
              <w:rPr>
                <w:color w:val="000000"/>
                <w:sz w:val="24"/>
              </w:rPr>
            </w:pPr>
            <w:r>
              <w:rPr>
                <w:color w:val="000000"/>
                <w:sz w:val="24"/>
              </w:rPr>
              <w:t>⑨危险废物暂存场设置通风口，及时换气。</w:t>
            </w:r>
          </w:p>
          <w:p>
            <w:pPr>
              <w:tabs>
                <w:tab w:val="left" w:pos="0"/>
              </w:tabs>
              <w:spacing w:line="360" w:lineRule="auto"/>
              <w:rPr>
                <w:b/>
                <w:bCs/>
                <w:color w:val="000000"/>
                <w:sz w:val="24"/>
              </w:rPr>
            </w:pPr>
            <w:r>
              <w:rPr>
                <w:b/>
                <w:bCs/>
                <w:color w:val="000000"/>
                <w:sz w:val="24"/>
              </w:rPr>
              <w:t>4.4.2.2运输过程的污染防治措施：</w:t>
            </w:r>
          </w:p>
          <w:p>
            <w:pPr>
              <w:tabs>
                <w:tab w:val="left" w:pos="0"/>
              </w:tabs>
              <w:spacing w:line="360" w:lineRule="auto"/>
              <w:ind w:firstLine="480" w:firstLineChars="200"/>
              <w:rPr>
                <w:color w:val="000000"/>
                <w:sz w:val="24"/>
              </w:rPr>
            </w:pPr>
            <w:r>
              <w:rPr>
                <w:color w:val="000000"/>
                <w:sz w:val="24"/>
              </w:rPr>
              <w:fldChar w:fldCharType="begin"/>
            </w:r>
            <w:r>
              <w:rPr>
                <w:color w:val="000000"/>
                <w:sz w:val="24"/>
              </w:rPr>
              <w:instrText xml:space="preserve"> = 1 \* GB3 </w:instrText>
            </w:r>
            <w:r>
              <w:rPr>
                <w:color w:val="000000"/>
                <w:sz w:val="24"/>
              </w:rPr>
              <w:fldChar w:fldCharType="separate"/>
            </w:r>
            <w:r>
              <w:rPr>
                <w:color w:val="000000"/>
                <w:sz w:val="24"/>
              </w:rPr>
              <w:t>①</w:t>
            </w:r>
            <w:r>
              <w:rPr>
                <w:color w:val="000000"/>
                <w:sz w:val="24"/>
              </w:rPr>
              <w:fldChar w:fldCharType="end"/>
            </w:r>
            <w:r>
              <w:rPr>
                <w:color w:val="000000"/>
                <w:sz w:val="24"/>
              </w:rPr>
              <w:t>本项目产生的危险废物从厂区内产生工艺环节运输到危险废物仓库的过程中可能产生散落、泄漏，企业严格按照《危险废物收集 贮存 运输技术规范》（HJ2025-2012）的要求进行运输，可以大大减小其引起的环境影响。</w:t>
            </w:r>
          </w:p>
          <w:p>
            <w:pPr>
              <w:tabs>
                <w:tab w:val="left" w:pos="0"/>
              </w:tabs>
              <w:spacing w:line="360" w:lineRule="auto"/>
              <w:ind w:firstLine="480" w:firstLineChars="200"/>
              <w:rPr>
                <w:color w:val="000000"/>
                <w:sz w:val="24"/>
              </w:rPr>
            </w:pPr>
            <w:r>
              <w:rPr>
                <w:color w:val="000000"/>
                <w:sz w:val="24"/>
              </w:rPr>
              <w:fldChar w:fldCharType="begin"/>
            </w:r>
            <w:r>
              <w:rPr>
                <w:color w:val="000000"/>
                <w:sz w:val="24"/>
              </w:rPr>
              <w:instrText xml:space="preserve"> = 2 \* GB3 </w:instrText>
            </w:r>
            <w:r>
              <w:rPr>
                <w:color w:val="000000"/>
                <w:sz w:val="24"/>
              </w:rPr>
              <w:fldChar w:fldCharType="separate"/>
            </w:r>
            <w:r>
              <w:rPr>
                <w:color w:val="000000"/>
                <w:sz w:val="24"/>
              </w:rPr>
              <w:t>②</w:t>
            </w:r>
            <w:r>
              <w:rPr>
                <w:color w:val="000000"/>
                <w:sz w:val="24"/>
              </w:rPr>
              <w:fldChar w:fldCharType="end"/>
            </w:r>
            <w:r>
              <w:rPr>
                <w:color w:val="000000"/>
                <w:sz w:val="24"/>
              </w:rPr>
              <w:t>本项目产生的危险废物从厂内至危废处置单位的运输由持有危险废物经营许可证的单位按照许可范围组织实施，承担危险废物运输的单位需获得交通运输部门颁发的危险货物运输资质，采用公路运输方式。</w:t>
            </w:r>
          </w:p>
          <w:p>
            <w:pPr>
              <w:tabs>
                <w:tab w:val="left" w:pos="0"/>
              </w:tabs>
              <w:spacing w:line="360" w:lineRule="auto"/>
              <w:ind w:firstLine="480" w:firstLineChars="200"/>
              <w:rPr>
                <w:color w:val="000000"/>
                <w:sz w:val="24"/>
              </w:rPr>
            </w:pPr>
            <w:r>
              <w:rPr>
                <w:color w:val="000000"/>
                <w:sz w:val="24"/>
              </w:rPr>
              <w:t>③负责危险废物运输的车辆需有明显标识专车专用，禁止混装其他物品，单独收集，密闭运输，自动装卸，驾驶人员需进行专业培训；随车配备必要的消防器材和应急用具，悬挂危险品运输标志；确保废弃物包装完好，若有破损或密封不严，及时更换，更换包装作危废处置；禁止混合运输性质不相容或未经安全性处置的危废，运输车辆禁止人货混载。</w:t>
            </w:r>
          </w:p>
          <w:p>
            <w:pPr>
              <w:tabs>
                <w:tab w:val="left" w:pos="0"/>
              </w:tabs>
              <w:spacing w:line="360" w:lineRule="auto"/>
              <w:ind w:firstLine="480" w:firstLineChars="200"/>
              <w:rPr>
                <w:color w:val="000000"/>
                <w:sz w:val="24"/>
              </w:rPr>
            </w:pPr>
            <w:r>
              <w:rPr>
                <w:color w:val="000000"/>
                <w:sz w:val="24"/>
              </w:rPr>
              <w:t>④危险废物的运输路线尽量选取避开环境敏感点的宽敞大路，并且运输过程严格按照《危险废物收集 贮存 运输技术规范》（HJ2025-2012）的要求进行执行，可减小其对周围环境敏感点的影响。</w:t>
            </w:r>
          </w:p>
          <w:p>
            <w:pPr>
              <w:tabs>
                <w:tab w:val="left" w:pos="0"/>
              </w:tabs>
              <w:spacing w:line="360" w:lineRule="auto"/>
              <w:ind w:firstLine="480" w:firstLineChars="200"/>
              <w:rPr>
                <w:color w:val="000000"/>
                <w:sz w:val="24"/>
              </w:rPr>
            </w:pPr>
            <w:r>
              <w:rPr>
                <w:color w:val="000000"/>
                <w:sz w:val="24"/>
              </w:rPr>
              <w:t>⑤电子化手段实现全程监控。危险废物运输车辆均安装GPS，运输路径全程记录，危险废物出厂前开具电子联单，运输至处置单位后，经处置单位确认接收，全程可查，避免中途出现抛洒及非法处置的可能。</w:t>
            </w:r>
          </w:p>
          <w:p>
            <w:pPr>
              <w:tabs>
                <w:tab w:val="left" w:pos="0"/>
              </w:tabs>
              <w:spacing w:line="360" w:lineRule="auto"/>
              <w:rPr>
                <w:b/>
                <w:bCs/>
                <w:color w:val="000000"/>
                <w:sz w:val="24"/>
              </w:rPr>
            </w:pPr>
            <w:r>
              <w:rPr>
                <w:b/>
                <w:bCs/>
                <w:color w:val="000000"/>
                <w:sz w:val="24"/>
              </w:rPr>
              <w:t>4.4.2.3危险废物储存场所环境影响分析</w:t>
            </w:r>
          </w:p>
          <w:p>
            <w:pPr>
              <w:tabs>
                <w:tab w:val="left" w:pos="0"/>
              </w:tabs>
              <w:spacing w:line="360" w:lineRule="auto"/>
              <w:ind w:firstLine="480" w:firstLineChars="200"/>
              <w:rPr>
                <w:color w:val="000000"/>
                <w:sz w:val="24"/>
              </w:rPr>
            </w:pPr>
            <w:r>
              <w:rPr>
                <w:rFonts w:hint="eastAsia"/>
                <w:color w:val="000000"/>
                <w:sz w:val="24"/>
              </w:rPr>
              <w:t>①对环境空气的影响</w:t>
            </w:r>
          </w:p>
          <w:p>
            <w:pPr>
              <w:tabs>
                <w:tab w:val="left" w:pos="0"/>
              </w:tabs>
              <w:spacing w:line="360" w:lineRule="auto"/>
              <w:ind w:firstLine="480" w:firstLineChars="200"/>
              <w:rPr>
                <w:color w:val="000000"/>
                <w:sz w:val="24"/>
              </w:rPr>
            </w:pPr>
            <w:r>
              <w:rPr>
                <w:rFonts w:hint="eastAsia"/>
                <w:color w:val="000000"/>
                <w:sz w:val="24"/>
              </w:rPr>
              <w:t>项目危废储存时环境温度为常温，其内有机物挥发性很小，且贮存过程中按要求必须以密封包装，废气基本无逸散，同时加强仓库通风，因此对周边大气环境基本无影响。</w:t>
            </w:r>
          </w:p>
          <w:p>
            <w:pPr>
              <w:tabs>
                <w:tab w:val="left" w:pos="0"/>
              </w:tabs>
              <w:spacing w:line="360" w:lineRule="auto"/>
              <w:ind w:firstLine="480" w:firstLineChars="200"/>
              <w:rPr>
                <w:color w:val="000000"/>
                <w:sz w:val="24"/>
              </w:rPr>
            </w:pPr>
            <w:r>
              <w:rPr>
                <w:rFonts w:hint="eastAsia"/>
                <w:color w:val="000000"/>
                <w:sz w:val="24"/>
              </w:rPr>
              <w:t>②对地表水的影响：</w:t>
            </w:r>
          </w:p>
          <w:p>
            <w:pPr>
              <w:tabs>
                <w:tab w:val="left" w:pos="0"/>
              </w:tabs>
              <w:spacing w:line="360" w:lineRule="auto"/>
              <w:ind w:firstLine="480" w:firstLineChars="200"/>
              <w:rPr>
                <w:color w:val="000000"/>
                <w:sz w:val="24"/>
              </w:rPr>
            </w:pPr>
            <w:r>
              <w:rPr>
                <w:rFonts w:hint="eastAsia"/>
                <w:color w:val="000000"/>
                <w:sz w:val="24"/>
              </w:rPr>
              <w:t>项目危废储存区位于车间内，地面做好防腐、防渗处理，同时针对液态危废还建有导流沟和收集槽（导流沟、收集槽做好防腐、防渗处理），因此具有防雨、防漏、防渗措施，当事故发生时，不会产生废液进入厂区雨水系统，对周边地表水产生不良影响。</w:t>
            </w:r>
          </w:p>
          <w:p>
            <w:pPr>
              <w:tabs>
                <w:tab w:val="left" w:pos="0"/>
              </w:tabs>
              <w:spacing w:line="360" w:lineRule="auto"/>
              <w:ind w:firstLine="480" w:firstLineChars="200"/>
              <w:rPr>
                <w:color w:val="000000"/>
                <w:sz w:val="24"/>
              </w:rPr>
            </w:pPr>
            <w:r>
              <w:rPr>
                <w:rFonts w:hint="eastAsia"/>
                <w:color w:val="000000"/>
                <w:sz w:val="24"/>
              </w:rPr>
              <w:t>③对地下水的影响：</w:t>
            </w:r>
          </w:p>
          <w:p>
            <w:pPr>
              <w:tabs>
                <w:tab w:val="left" w:pos="0"/>
              </w:tabs>
              <w:spacing w:line="360" w:lineRule="auto"/>
              <w:ind w:firstLine="480" w:firstLineChars="200"/>
              <w:rPr>
                <w:color w:val="000000"/>
                <w:sz w:val="24"/>
              </w:rPr>
            </w:pPr>
            <w:r>
              <w:rPr>
                <w:rFonts w:hint="eastAsia"/>
                <w:color w:val="000000"/>
                <w:sz w:val="24"/>
              </w:rPr>
              <w:t>危险废物储存区按照《危险废物贮存污染控制标准（</w:t>
            </w:r>
            <w:r>
              <w:rPr>
                <w:color w:val="000000"/>
                <w:sz w:val="24"/>
              </w:rPr>
              <w:t>GB18597-20</w:t>
            </w:r>
            <w:r>
              <w:rPr>
                <w:rFonts w:hint="eastAsia"/>
                <w:color w:val="000000"/>
                <w:sz w:val="24"/>
              </w:rPr>
              <w:t>23）》要求，进行防腐、防渗，暂存场所地面铺设等效</w:t>
            </w:r>
            <w:r>
              <w:rPr>
                <w:color w:val="000000"/>
                <w:sz w:val="24"/>
              </w:rPr>
              <w:t xml:space="preserve">2mm </w:t>
            </w:r>
            <w:r>
              <w:rPr>
                <w:rFonts w:hint="eastAsia"/>
                <w:color w:val="000000"/>
                <w:sz w:val="24"/>
              </w:rPr>
              <w:t>厚高密度聚乙烯防渗层，渗透系数≤</w:t>
            </w:r>
            <w:r>
              <w:rPr>
                <w:color w:val="000000"/>
                <w:sz w:val="24"/>
              </w:rPr>
              <w:t>10</w:t>
            </w:r>
            <w:r>
              <w:rPr>
                <w:color w:val="000000"/>
                <w:sz w:val="24"/>
                <w:vertAlign w:val="superscript"/>
              </w:rPr>
              <w:t>-10</w:t>
            </w:r>
            <w:r>
              <w:rPr>
                <w:color w:val="000000"/>
                <w:sz w:val="24"/>
              </w:rPr>
              <w:t>cm/s</w:t>
            </w:r>
            <w:r>
              <w:rPr>
                <w:rFonts w:hint="eastAsia"/>
                <w:color w:val="000000"/>
                <w:sz w:val="24"/>
              </w:rPr>
              <w:t>，设集液托盘，正常情况下不会泄漏至室外污染土壤和地下水，不会对区域地下水环境产生影响。</w:t>
            </w:r>
          </w:p>
          <w:p>
            <w:pPr>
              <w:tabs>
                <w:tab w:val="left" w:pos="0"/>
              </w:tabs>
              <w:spacing w:line="360" w:lineRule="auto"/>
              <w:ind w:firstLine="480" w:firstLineChars="200"/>
              <w:rPr>
                <w:color w:val="000000"/>
                <w:sz w:val="24"/>
              </w:rPr>
            </w:pPr>
            <w:r>
              <w:rPr>
                <w:rFonts w:hint="eastAsia"/>
                <w:color w:val="000000"/>
                <w:sz w:val="24"/>
              </w:rPr>
              <w:t>④对环境敏感保护目标的影响：</w:t>
            </w:r>
          </w:p>
          <w:p>
            <w:pPr>
              <w:tabs>
                <w:tab w:val="left" w:pos="0"/>
              </w:tabs>
              <w:spacing w:line="360" w:lineRule="auto"/>
              <w:ind w:firstLine="480" w:firstLineChars="200"/>
              <w:rPr>
                <w:color w:val="000000"/>
                <w:sz w:val="24"/>
              </w:rPr>
            </w:pPr>
            <w:r>
              <w:rPr>
                <w:rFonts w:hint="eastAsia"/>
                <w:color w:val="000000"/>
                <w:sz w:val="24"/>
              </w:rPr>
              <w:t>本项目暂存的危险废物都按要求妥善保管，暂存场地地面按控制标准的要求做了防渗漏处理，一旦发生泄漏事故及时采取控制措施，环境风险水平在可控制范围内</w:t>
            </w:r>
            <w:r>
              <w:rPr>
                <w:color w:val="000000"/>
                <w:sz w:val="24"/>
              </w:rPr>
              <w:t>。</w:t>
            </w:r>
          </w:p>
          <w:p>
            <w:pPr>
              <w:tabs>
                <w:tab w:val="left" w:pos="0"/>
              </w:tabs>
              <w:spacing w:line="360" w:lineRule="auto"/>
              <w:rPr>
                <w:b/>
                <w:bCs/>
                <w:color w:val="000000"/>
                <w:sz w:val="24"/>
              </w:rPr>
            </w:pPr>
            <w:r>
              <w:rPr>
                <w:b/>
                <w:bCs/>
                <w:color w:val="000000"/>
                <w:sz w:val="24"/>
              </w:rPr>
              <w:t>4.4.2.</w:t>
            </w:r>
            <w:r>
              <w:rPr>
                <w:rFonts w:hint="eastAsia"/>
                <w:b/>
                <w:bCs/>
                <w:color w:val="000000"/>
                <w:sz w:val="24"/>
              </w:rPr>
              <w:t>4污染防治措施及其经济、技术分析</w:t>
            </w:r>
          </w:p>
          <w:p>
            <w:pPr>
              <w:tabs>
                <w:tab w:val="left" w:pos="0"/>
              </w:tabs>
              <w:spacing w:line="360" w:lineRule="auto"/>
              <w:ind w:firstLine="480" w:firstLineChars="200"/>
              <w:rPr>
                <w:color w:val="000000"/>
                <w:sz w:val="24"/>
              </w:rPr>
            </w:pPr>
            <w:r>
              <w:rPr>
                <w:rFonts w:hint="eastAsia"/>
                <w:color w:val="000000"/>
                <w:sz w:val="24"/>
              </w:rPr>
              <w:t>①危险废物贮存场所（设施）污染防治措施</w:t>
            </w:r>
          </w:p>
          <w:p>
            <w:pPr>
              <w:tabs>
                <w:tab w:val="left" w:pos="0"/>
              </w:tabs>
              <w:spacing w:line="360" w:lineRule="auto"/>
              <w:ind w:firstLine="480" w:firstLineChars="200"/>
              <w:rPr>
                <w:color w:val="000000"/>
                <w:sz w:val="24"/>
              </w:rPr>
            </w:pPr>
            <w:r>
              <w:rPr>
                <w:rFonts w:hint="eastAsia"/>
                <w:color w:val="000000"/>
                <w:sz w:val="24"/>
              </w:rPr>
              <w:t>危险废物贮存场所位于租赁车间，根据上文分析，本项目危险废物贮存场所贮存能  力满足要求。</w:t>
            </w:r>
          </w:p>
          <w:p>
            <w:pPr>
              <w:tabs>
                <w:tab w:val="left" w:pos="0"/>
              </w:tabs>
              <w:spacing w:line="360" w:lineRule="auto"/>
              <w:ind w:firstLine="480" w:firstLineChars="200"/>
              <w:rPr>
                <w:color w:val="000000"/>
                <w:sz w:val="24"/>
              </w:rPr>
            </w:pPr>
            <w:r>
              <w:rPr>
                <w:rFonts w:hint="eastAsia"/>
                <w:color w:val="000000"/>
                <w:sz w:val="24"/>
              </w:rPr>
              <w:t>A、贮存物质相容性要求：在常温常压下不水解、不挥发的固体危险废物可在贮存场所内分别堆放，除此之外的其他危险废物必须存放于容器中，存放用容器也需符合(GB18597- 2023)标准的相关规定；禁止将不相容(相互反应)的危险废物在同一容器中存放；无法装入常用容器的危险废物可用防漏胶袋等盛装。</w:t>
            </w:r>
          </w:p>
          <w:p>
            <w:pPr>
              <w:tabs>
                <w:tab w:val="left" w:pos="0"/>
              </w:tabs>
              <w:spacing w:line="360" w:lineRule="auto"/>
              <w:ind w:firstLine="480" w:firstLineChars="200"/>
              <w:rPr>
                <w:color w:val="000000"/>
                <w:sz w:val="24"/>
              </w:rPr>
            </w:pPr>
            <w:r>
              <w:rPr>
                <w:rFonts w:hint="eastAsia"/>
                <w:color w:val="000000"/>
                <w:sz w:val="24"/>
              </w:rPr>
              <w:t>B、包装容器要求：危险废物贮存容器应当使用符合标准的容器盛装危险废物，装载危险废物的容器及材质要满足相应的强度要求，完好无损，盛装危险废物的容器材质和衬里要与危险废物相容。</w:t>
            </w:r>
          </w:p>
          <w:p>
            <w:pPr>
              <w:tabs>
                <w:tab w:val="left" w:pos="0"/>
              </w:tabs>
              <w:spacing w:line="360" w:lineRule="auto"/>
              <w:ind w:firstLine="480" w:firstLineChars="200"/>
              <w:rPr>
                <w:color w:val="000000"/>
                <w:sz w:val="24"/>
              </w:rPr>
            </w:pPr>
            <w:r>
              <w:rPr>
                <w:rFonts w:hint="eastAsia"/>
                <w:color w:val="000000"/>
                <w:sz w:val="24"/>
              </w:rPr>
              <w:t>C、危险废物贮存场所要求：对于危险废物暂存区域应严格按照《危险废物贮存污染控制标准》(GB18597-2023)中的相关规定，地面进行耐腐蚀硬化处理，地基须防渗，地面表面无裂缝；不相容的危险废物需分类存放，并设置隔离间隔断；满足（防风、防雨、防晒、防渗漏），具备警示标识等方面内容。</w:t>
            </w:r>
          </w:p>
          <w:p>
            <w:pPr>
              <w:autoSpaceDE w:val="0"/>
              <w:autoSpaceDN w:val="0"/>
              <w:spacing w:before="138" w:after="4"/>
              <w:ind w:left="694"/>
              <w:jc w:val="center"/>
              <w:outlineLvl w:val="1"/>
              <w:rPr>
                <w:b/>
                <w:color w:val="000000"/>
                <w:kern w:val="0"/>
                <w:sz w:val="24"/>
                <w:szCs w:val="36"/>
              </w:rPr>
            </w:pPr>
            <w:r>
              <w:rPr>
                <w:b/>
                <w:color w:val="000000"/>
                <w:kern w:val="0"/>
                <w:sz w:val="24"/>
                <w:szCs w:val="36"/>
              </w:rPr>
              <w:t>表 4-28危废暂存场所建设要求</w:t>
            </w:r>
          </w:p>
          <w:tbl>
            <w:tblPr>
              <w:tblStyle w:val="20"/>
              <w:tblW w:w="5000"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1335"/>
              <w:gridCol w:w="4704"/>
              <w:gridCol w:w="301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 w:hRule="atLeast"/>
              </w:trPr>
              <w:tc>
                <w:tcPr>
                  <w:tcW w:w="738" w:type="pct"/>
                  <w:tcBorders>
                    <w:top w:val="single" w:color="000000" w:sz="12" w:space="0"/>
                    <w:left w:val="nil"/>
                    <w:bottom w:val="single" w:color="000000" w:sz="4" w:space="0"/>
                    <w:right w:val="single" w:color="000000" w:sz="4" w:space="0"/>
                  </w:tcBorders>
                  <w:vAlign w:val="center"/>
                </w:tcPr>
                <w:p>
                  <w:pPr>
                    <w:autoSpaceDE w:val="0"/>
                    <w:autoSpaceDN w:val="0"/>
                    <w:spacing w:before="23"/>
                    <w:ind w:left="409"/>
                    <w:jc w:val="center"/>
                    <w:rPr>
                      <w:b/>
                      <w:bCs/>
                      <w:color w:val="000000"/>
                      <w:kern w:val="0"/>
                      <w:szCs w:val="21"/>
                    </w:rPr>
                  </w:pPr>
                  <w:r>
                    <w:rPr>
                      <w:b/>
                      <w:bCs/>
                      <w:color w:val="000000"/>
                      <w:kern w:val="0"/>
                      <w:szCs w:val="21"/>
                    </w:rPr>
                    <w:t>项目</w:t>
                  </w:r>
                </w:p>
              </w:tc>
              <w:tc>
                <w:tcPr>
                  <w:tcW w:w="2599" w:type="pct"/>
                  <w:tcBorders>
                    <w:top w:val="single" w:color="000000" w:sz="12" w:space="0"/>
                    <w:left w:val="nil"/>
                    <w:bottom w:val="single" w:color="000000" w:sz="4" w:space="0"/>
                    <w:right w:val="single" w:color="000000" w:sz="4" w:space="0"/>
                  </w:tcBorders>
                  <w:vAlign w:val="center"/>
                </w:tcPr>
                <w:p>
                  <w:pPr>
                    <w:autoSpaceDE w:val="0"/>
                    <w:autoSpaceDN w:val="0"/>
                    <w:spacing w:before="23"/>
                    <w:ind w:left="1540" w:right="1510"/>
                    <w:jc w:val="center"/>
                    <w:rPr>
                      <w:b/>
                      <w:bCs/>
                      <w:color w:val="000000"/>
                      <w:kern w:val="0"/>
                      <w:szCs w:val="21"/>
                    </w:rPr>
                  </w:pPr>
                  <w:r>
                    <w:rPr>
                      <w:b/>
                      <w:bCs/>
                      <w:color w:val="000000"/>
                      <w:kern w:val="0"/>
                      <w:szCs w:val="21"/>
                    </w:rPr>
                    <w:t>具体要求</w:t>
                  </w:r>
                </w:p>
              </w:tc>
              <w:tc>
                <w:tcPr>
                  <w:tcW w:w="1663" w:type="pct"/>
                  <w:tcBorders>
                    <w:top w:val="single" w:color="000000" w:sz="12" w:space="0"/>
                    <w:left w:val="nil"/>
                    <w:bottom w:val="single" w:color="000000" w:sz="4" w:space="0"/>
                    <w:right w:val="nil"/>
                  </w:tcBorders>
                  <w:vAlign w:val="center"/>
                </w:tcPr>
                <w:p>
                  <w:pPr>
                    <w:autoSpaceDE w:val="0"/>
                    <w:autoSpaceDN w:val="0"/>
                    <w:spacing w:before="23"/>
                    <w:ind w:left="117" w:right="90"/>
                    <w:jc w:val="center"/>
                    <w:rPr>
                      <w:b/>
                      <w:bCs/>
                      <w:color w:val="000000"/>
                      <w:kern w:val="0"/>
                      <w:szCs w:val="21"/>
                    </w:rPr>
                  </w:pPr>
                  <w:r>
                    <w:rPr>
                      <w:b/>
                      <w:bCs/>
                      <w:color w:val="000000"/>
                      <w:kern w:val="0"/>
                      <w:szCs w:val="21"/>
                    </w:rPr>
                    <w:t>简要说明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 w:hRule="atLeast"/>
              </w:trPr>
              <w:tc>
                <w:tcPr>
                  <w:tcW w:w="738" w:type="pct"/>
                  <w:vMerge w:val="restart"/>
                  <w:tcBorders>
                    <w:top w:val="nil"/>
                    <w:left w:val="nil"/>
                    <w:bottom w:val="single" w:color="000000" w:sz="12" w:space="0"/>
                    <w:right w:val="single" w:color="000000" w:sz="4" w:space="0"/>
                  </w:tcBorders>
                  <w:vAlign w:val="center"/>
                </w:tcPr>
                <w:p>
                  <w:pPr>
                    <w:autoSpaceDE w:val="0"/>
                    <w:autoSpaceDN w:val="0"/>
                    <w:spacing w:line="259" w:lineRule="auto"/>
                    <w:ind w:right="34"/>
                    <w:jc w:val="center"/>
                    <w:rPr>
                      <w:color w:val="000000"/>
                      <w:kern w:val="0"/>
                      <w:szCs w:val="21"/>
                    </w:rPr>
                  </w:pPr>
                  <w:r>
                    <w:rPr>
                      <w:color w:val="000000"/>
                      <w:kern w:val="0"/>
                      <w:szCs w:val="21"/>
                    </w:rPr>
                    <w:t xml:space="preserve">收集、贮 </w:t>
                  </w:r>
                  <w:r>
                    <w:rPr>
                      <w:color w:val="000000"/>
                      <w:spacing w:val="-3"/>
                      <w:kern w:val="0"/>
                      <w:szCs w:val="21"/>
                    </w:rPr>
                    <w:t>存、运输、</w:t>
                  </w:r>
                  <w:r>
                    <w:rPr>
                      <w:color w:val="000000"/>
                      <w:spacing w:val="-12"/>
                      <w:kern w:val="0"/>
                      <w:szCs w:val="21"/>
                    </w:rPr>
                    <w:t>利用、处置固危废的 单位</w:t>
                  </w:r>
                </w:p>
              </w:tc>
              <w:tc>
                <w:tcPr>
                  <w:tcW w:w="2599" w:type="pct"/>
                  <w:tcBorders>
                    <w:top w:val="single" w:color="000000" w:sz="4" w:space="0"/>
                    <w:left w:val="nil"/>
                    <w:bottom w:val="single" w:color="000000" w:sz="4" w:space="0"/>
                    <w:right w:val="single" w:color="000000" w:sz="4" w:space="0"/>
                  </w:tcBorders>
                  <w:vAlign w:val="center"/>
                </w:tcPr>
                <w:p>
                  <w:pPr>
                    <w:autoSpaceDE w:val="0"/>
                    <w:autoSpaceDN w:val="0"/>
                    <w:spacing w:before="25"/>
                    <w:ind w:left="116"/>
                    <w:jc w:val="center"/>
                    <w:rPr>
                      <w:color w:val="000000"/>
                      <w:kern w:val="0"/>
                      <w:szCs w:val="21"/>
                    </w:rPr>
                  </w:pPr>
                  <w:r>
                    <w:rPr>
                      <w:color w:val="000000"/>
                      <w:kern w:val="0"/>
                      <w:szCs w:val="21"/>
                    </w:rPr>
                    <w:t>A.贮存场所地面硬化及防渗处理；</w:t>
                  </w:r>
                </w:p>
              </w:tc>
              <w:tc>
                <w:tcPr>
                  <w:tcW w:w="1663" w:type="pct"/>
                  <w:tcBorders>
                    <w:top w:val="single" w:color="000000" w:sz="4" w:space="0"/>
                    <w:left w:val="nil"/>
                    <w:bottom w:val="single" w:color="000000" w:sz="4" w:space="0"/>
                    <w:right w:val="nil"/>
                  </w:tcBorders>
                  <w:vAlign w:val="center"/>
                </w:tcPr>
                <w:p>
                  <w:pPr>
                    <w:autoSpaceDE w:val="0"/>
                    <w:autoSpaceDN w:val="0"/>
                    <w:spacing w:before="25"/>
                    <w:ind w:left="113" w:right="93"/>
                    <w:jc w:val="center"/>
                    <w:rPr>
                      <w:color w:val="000000"/>
                      <w:kern w:val="0"/>
                      <w:szCs w:val="21"/>
                    </w:rPr>
                  </w:pPr>
                  <w:r>
                    <w:rPr>
                      <w:color w:val="000000"/>
                      <w:kern w:val="0"/>
                      <w:szCs w:val="21"/>
                    </w:rPr>
                    <w:t>地面硬化+环氧地坪</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 w:hRule="atLeast"/>
              </w:trPr>
              <w:tc>
                <w:tcPr>
                  <w:tcW w:w="738" w:type="pct"/>
                  <w:vMerge w:val="continue"/>
                  <w:tcBorders>
                    <w:top w:val="nil"/>
                    <w:left w:val="nil"/>
                    <w:bottom w:val="single" w:color="000000" w:sz="12" w:space="0"/>
                    <w:right w:val="single" w:color="000000" w:sz="4" w:space="0"/>
                  </w:tcBorders>
                  <w:vAlign w:val="center"/>
                </w:tcPr>
                <w:p>
                  <w:pPr>
                    <w:widowControl/>
                    <w:jc w:val="center"/>
                    <w:rPr>
                      <w:color w:val="000000"/>
                      <w:szCs w:val="21"/>
                    </w:rPr>
                  </w:pPr>
                </w:p>
              </w:tc>
              <w:tc>
                <w:tcPr>
                  <w:tcW w:w="2599" w:type="pct"/>
                  <w:tcBorders>
                    <w:top w:val="single" w:color="000000" w:sz="4" w:space="0"/>
                    <w:left w:val="nil"/>
                    <w:bottom w:val="single" w:color="000000" w:sz="4" w:space="0"/>
                    <w:right w:val="single" w:color="000000" w:sz="4" w:space="0"/>
                  </w:tcBorders>
                  <w:vAlign w:val="center"/>
                </w:tcPr>
                <w:p>
                  <w:pPr>
                    <w:autoSpaceDE w:val="0"/>
                    <w:autoSpaceDN w:val="0"/>
                    <w:spacing w:before="16"/>
                    <w:ind w:left="116"/>
                    <w:jc w:val="center"/>
                    <w:rPr>
                      <w:color w:val="000000"/>
                      <w:kern w:val="0"/>
                      <w:szCs w:val="21"/>
                    </w:rPr>
                  </w:pPr>
                  <w:r>
                    <w:rPr>
                      <w:color w:val="000000"/>
                      <w:kern w:val="0"/>
                      <w:szCs w:val="21"/>
                    </w:rPr>
                    <w:t>B.场所应有雨棚、围堰或围墙，并采取措</w:t>
                  </w:r>
                </w:p>
                <w:p>
                  <w:pPr>
                    <w:autoSpaceDE w:val="0"/>
                    <w:autoSpaceDN w:val="0"/>
                    <w:spacing w:before="23"/>
                    <w:ind w:left="116"/>
                    <w:jc w:val="center"/>
                    <w:rPr>
                      <w:color w:val="000000"/>
                      <w:kern w:val="0"/>
                      <w:szCs w:val="21"/>
                    </w:rPr>
                  </w:pPr>
                  <w:r>
                    <w:rPr>
                      <w:color w:val="000000"/>
                      <w:kern w:val="0"/>
                      <w:szCs w:val="21"/>
                    </w:rPr>
                    <w:t>施禁止无关人员进入；</w:t>
                  </w:r>
                </w:p>
              </w:tc>
              <w:tc>
                <w:tcPr>
                  <w:tcW w:w="1663" w:type="pct"/>
                  <w:tcBorders>
                    <w:top w:val="single" w:color="000000" w:sz="4" w:space="0"/>
                    <w:left w:val="nil"/>
                    <w:bottom w:val="single" w:color="000000" w:sz="4" w:space="0"/>
                    <w:right w:val="nil"/>
                  </w:tcBorders>
                  <w:vAlign w:val="center"/>
                </w:tcPr>
                <w:p>
                  <w:pPr>
                    <w:autoSpaceDE w:val="0"/>
                    <w:autoSpaceDN w:val="0"/>
                    <w:spacing w:before="160"/>
                    <w:ind w:left="113" w:right="93"/>
                    <w:jc w:val="center"/>
                    <w:rPr>
                      <w:color w:val="000000"/>
                      <w:kern w:val="0"/>
                      <w:szCs w:val="21"/>
                    </w:rPr>
                  </w:pPr>
                  <w:r>
                    <w:rPr>
                      <w:color w:val="000000"/>
                      <w:kern w:val="0"/>
                      <w:szCs w:val="21"/>
                    </w:rPr>
                    <w:t>防流失</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 w:hRule="atLeast"/>
              </w:trPr>
              <w:tc>
                <w:tcPr>
                  <w:tcW w:w="738" w:type="pct"/>
                  <w:vMerge w:val="continue"/>
                  <w:tcBorders>
                    <w:top w:val="nil"/>
                    <w:left w:val="nil"/>
                    <w:bottom w:val="single" w:color="000000" w:sz="12" w:space="0"/>
                    <w:right w:val="single" w:color="000000" w:sz="4" w:space="0"/>
                  </w:tcBorders>
                  <w:vAlign w:val="center"/>
                </w:tcPr>
                <w:p>
                  <w:pPr>
                    <w:widowControl/>
                    <w:jc w:val="center"/>
                    <w:rPr>
                      <w:color w:val="000000"/>
                      <w:szCs w:val="21"/>
                    </w:rPr>
                  </w:pPr>
                </w:p>
              </w:tc>
              <w:tc>
                <w:tcPr>
                  <w:tcW w:w="2599" w:type="pct"/>
                  <w:tcBorders>
                    <w:top w:val="single" w:color="000000" w:sz="4" w:space="0"/>
                    <w:left w:val="nil"/>
                    <w:bottom w:val="single" w:color="000000" w:sz="4" w:space="0"/>
                    <w:right w:val="single" w:color="000000" w:sz="4" w:space="0"/>
                  </w:tcBorders>
                  <w:vAlign w:val="center"/>
                </w:tcPr>
                <w:p>
                  <w:pPr>
                    <w:autoSpaceDE w:val="0"/>
                    <w:autoSpaceDN w:val="0"/>
                    <w:spacing w:before="1"/>
                    <w:jc w:val="center"/>
                    <w:rPr>
                      <w:color w:val="000000"/>
                      <w:kern w:val="0"/>
                      <w:szCs w:val="21"/>
                    </w:rPr>
                  </w:pPr>
                  <w:r>
                    <w:rPr>
                      <w:color w:val="000000"/>
                      <w:kern w:val="0"/>
                      <w:szCs w:val="21"/>
                    </w:rPr>
                    <w:t>C.设置废水导排管道或渠道；</w:t>
                  </w:r>
                </w:p>
              </w:tc>
              <w:tc>
                <w:tcPr>
                  <w:tcW w:w="1663" w:type="pct"/>
                  <w:tcBorders>
                    <w:top w:val="single" w:color="000000" w:sz="4" w:space="0"/>
                    <w:left w:val="nil"/>
                    <w:bottom w:val="single" w:color="000000" w:sz="4" w:space="0"/>
                    <w:right w:val="nil"/>
                  </w:tcBorders>
                  <w:vAlign w:val="center"/>
                </w:tcPr>
                <w:p>
                  <w:pPr>
                    <w:autoSpaceDE w:val="0"/>
                    <w:autoSpaceDN w:val="0"/>
                    <w:spacing w:before="15" w:line="259" w:lineRule="auto"/>
                    <w:ind w:left="117" w:right="93"/>
                    <w:jc w:val="center"/>
                    <w:rPr>
                      <w:color w:val="000000"/>
                      <w:kern w:val="0"/>
                      <w:szCs w:val="21"/>
                    </w:rPr>
                  </w:pPr>
                  <w:r>
                    <w:rPr>
                      <w:color w:val="000000"/>
                      <w:kern w:val="0"/>
                      <w:szCs w:val="21"/>
                    </w:rPr>
                    <w:t>场所四周建设收集槽（仓库四周有格栅盖板），并汇集到收集池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 w:hRule="atLeast"/>
              </w:trPr>
              <w:tc>
                <w:tcPr>
                  <w:tcW w:w="738" w:type="pct"/>
                  <w:vMerge w:val="continue"/>
                  <w:tcBorders>
                    <w:top w:val="nil"/>
                    <w:left w:val="nil"/>
                    <w:bottom w:val="single" w:color="000000" w:sz="12" w:space="0"/>
                    <w:right w:val="single" w:color="000000" w:sz="4" w:space="0"/>
                  </w:tcBorders>
                  <w:vAlign w:val="center"/>
                </w:tcPr>
                <w:p>
                  <w:pPr>
                    <w:widowControl/>
                    <w:jc w:val="center"/>
                    <w:rPr>
                      <w:color w:val="000000"/>
                      <w:szCs w:val="21"/>
                    </w:rPr>
                  </w:pPr>
                </w:p>
              </w:tc>
              <w:tc>
                <w:tcPr>
                  <w:tcW w:w="2599" w:type="pct"/>
                  <w:tcBorders>
                    <w:top w:val="single" w:color="000000" w:sz="4" w:space="0"/>
                    <w:left w:val="nil"/>
                    <w:bottom w:val="single" w:color="000000" w:sz="4" w:space="0"/>
                    <w:right w:val="single" w:color="000000" w:sz="4" w:space="0"/>
                  </w:tcBorders>
                  <w:vAlign w:val="center"/>
                </w:tcPr>
                <w:p>
                  <w:pPr>
                    <w:autoSpaceDE w:val="0"/>
                    <w:autoSpaceDN w:val="0"/>
                    <w:spacing w:before="14"/>
                    <w:ind w:left="116"/>
                    <w:jc w:val="center"/>
                    <w:rPr>
                      <w:color w:val="000000"/>
                      <w:kern w:val="0"/>
                      <w:szCs w:val="21"/>
                    </w:rPr>
                  </w:pPr>
                  <w:r>
                    <w:rPr>
                      <w:color w:val="000000"/>
                      <w:kern w:val="0"/>
                      <w:szCs w:val="21"/>
                    </w:rPr>
                    <w:t>D.将冲洗废水纳入企业废水处理设施处</w:t>
                  </w:r>
                </w:p>
                <w:p>
                  <w:pPr>
                    <w:autoSpaceDE w:val="0"/>
                    <w:autoSpaceDN w:val="0"/>
                    <w:spacing w:before="23"/>
                    <w:ind w:left="116"/>
                    <w:jc w:val="center"/>
                    <w:rPr>
                      <w:color w:val="000000"/>
                      <w:kern w:val="0"/>
                      <w:szCs w:val="21"/>
                    </w:rPr>
                  </w:pPr>
                  <w:r>
                    <w:rPr>
                      <w:color w:val="000000"/>
                      <w:kern w:val="0"/>
                      <w:szCs w:val="21"/>
                    </w:rPr>
                    <w:t>理或危险废物管理；</w:t>
                  </w:r>
                </w:p>
              </w:tc>
              <w:tc>
                <w:tcPr>
                  <w:tcW w:w="1663" w:type="pct"/>
                  <w:tcBorders>
                    <w:top w:val="single" w:color="000000" w:sz="4" w:space="0"/>
                    <w:left w:val="nil"/>
                    <w:bottom w:val="single" w:color="000000" w:sz="4" w:space="0"/>
                    <w:right w:val="nil"/>
                  </w:tcBorders>
                  <w:vAlign w:val="center"/>
                </w:tcPr>
                <w:p>
                  <w:pPr>
                    <w:autoSpaceDE w:val="0"/>
                    <w:autoSpaceDN w:val="0"/>
                    <w:spacing w:before="14"/>
                    <w:ind w:left="73" w:right="51"/>
                    <w:jc w:val="center"/>
                    <w:rPr>
                      <w:color w:val="000000"/>
                      <w:kern w:val="0"/>
                      <w:szCs w:val="21"/>
                    </w:rPr>
                  </w:pPr>
                  <w:r>
                    <w:rPr>
                      <w:color w:val="000000"/>
                      <w:kern w:val="0"/>
                      <w:szCs w:val="21"/>
                    </w:rPr>
                    <w:t>冲洗废水、渗滤液、泄漏物一律作为危废管理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 w:hRule="atLeast"/>
              </w:trPr>
              <w:tc>
                <w:tcPr>
                  <w:tcW w:w="738" w:type="pct"/>
                  <w:vMerge w:val="continue"/>
                  <w:tcBorders>
                    <w:top w:val="nil"/>
                    <w:left w:val="nil"/>
                    <w:bottom w:val="single" w:color="000000" w:sz="12" w:space="0"/>
                    <w:right w:val="single" w:color="000000" w:sz="4" w:space="0"/>
                  </w:tcBorders>
                  <w:vAlign w:val="center"/>
                </w:tcPr>
                <w:p>
                  <w:pPr>
                    <w:widowControl/>
                    <w:jc w:val="center"/>
                    <w:rPr>
                      <w:color w:val="000000"/>
                      <w:szCs w:val="21"/>
                    </w:rPr>
                  </w:pPr>
                </w:p>
              </w:tc>
              <w:tc>
                <w:tcPr>
                  <w:tcW w:w="2599" w:type="pct"/>
                  <w:tcBorders>
                    <w:top w:val="single" w:color="000000" w:sz="4" w:space="0"/>
                    <w:left w:val="nil"/>
                    <w:bottom w:val="single" w:color="000000" w:sz="4" w:space="0"/>
                    <w:right w:val="single" w:color="000000" w:sz="4" w:space="0"/>
                  </w:tcBorders>
                  <w:vAlign w:val="center"/>
                </w:tcPr>
                <w:p>
                  <w:pPr>
                    <w:autoSpaceDE w:val="0"/>
                    <w:autoSpaceDN w:val="0"/>
                    <w:spacing w:before="13"/>
                    <w:ind w:left="116"/>
                    <w:jc w:val="center"/>
                    <w:rPr>
                      <w:color w:val="000000"/>
                      <w:kern w:val="0"/>
                      <w:szCs w:val="21"/>
                    </w:rPr>
                  </w:pPr>
                  <w:r>
                    <w:rPr>
                      <w:color w:val="000000"/>
                      <w:kern w:val="0"/>
                      <w:szCs w:val="21"/>
                    </w:rPr>
                    <w:t>E.贮存液态或半固态废物的，需设置泄露</w:t>
                  </w:r>
                </w:p>
                <w:p>
                  <w:pPr>
                    <w:autoSpaceDE w:val="0"/>
                    <w:autoSpaceDN w:val="0"/>
                    <w:spacing w:before="24"/>
                    <w:ind w:left="116"/>
                    <w:jc w:val="center"/>
                    <w:rPr>
                      <w:color w:val="000000"/>
                      <w:kern w:val="0"/>
                      <w:szCs w:val="21"/>
                    </w:rPr>
                  </w:pPr>
                  <w:r>
                    <w:rPr>
                      <w:color w:val="000000"/>
                      <w:kern w:val="0"/>
                      <w:szCs w:val="21"/>
                    </w:rPr>
                    <w:t>液体收集装置；</w:t>
                  </w:r>
                </w:p>
              </w:tc>
              <w:tc>
                <w:tcPr>
                  <w:tcW w:w="1663" w:type="pct"/>
                  <w:vMerge w:val="restart"/>
                  <w:tcBorders>
                    <w:top w:val="single" w:color="000000" w:sz="4" w:space="0"/>
                    <w:left w:val="nil"/>
                    <w:right w:val="nil"/>
                  </w:tcBorders>
                  <w:vAlign w:val="center"/>
                </w:tcPr>
                <w:p>
                  <w:pPr>
                    <w:autoSpaceDE w:val="0"/>
                    <w:autoSpaceDN w:val="0"/>
                    <w:spacing w:before="160"/>
                    <w:ind w:left="113" w:right="93"/>
                    <w:jc w:val="center"/>
                    <w:rPr>
                      <w:color w:val="000000"/>
                      <w:kern w:val="0"/>
                      <w:szCs w:val="21"/>
                    </w:rPr>
                  </w:pPr>
                  <w:r>
                    <w:rPr>
                      <w:color w:val="000000"/>
                      <w:kern w:val="0"/>
                      <w:szCs w:val="21"/>
                    </w:rPr>
                    <w:t>托盘</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 w:hRule="atLeast"/>
              </w:trPr>
              <w:tc>
                <w:tcPr>
                  <w:tcW w:w="738" w:type="pct"/>
                  <w:vMerge w:val="continue"/>
                  <w:tcBorders>
                    <w:top w:val="nil"/>
                    <w:left w:val="nil"/>
                    <w:bottom w:val="single" w:color="000000" w:sz="12" w:space="0"/>
                    <w:right w:val="single" w:color="000000" w:sz="4" w:space="0"/>
                  </w:tcBorders>
                  <w:vAlign w:val="center"/>
                </w:tcPr>
                <w:p>
                  <w:pPr>
                    <w:widowControl/>
                    <w:jc w:val="center"/>
                    <w:rPr>
                      <w:color w:val="000000"/>
                      <w:szCs w:val="21"/>
                    </w:rPr>
                  </w:pPr>
                </w:p>
              </w:tc>
              <w:tc>
                <w:tcPr>
                  <w:tcW w:w="2599" w:type="pct"/>
                  <w:tcBorders>
                    <w:top w:val="single" w:color="000000" w:sz="4" w:space="0"/>
                    <w:left w:val="nil"/>
                    <w:bottom w:val="single" w:color="000000" w:sz="12" w:space="0"/>
                    <w:right w:val="single" w:color="000000" w:sz="4" w:space="0"/>
                  </w:tcBorders>
                  <w:vAlign w:val="center"/>
                </w:tcPr>
                <w:p>
                  <w:pPr>
                    <w:autoSpaceDE w:val="0"/>
                    <w:autoSpaceDN w:val="0"/>
                    <w:spacing w:before="14"/>
                    <w:ind w:left="116"/>
                    <w:jc w:val="center"/>
                    <w:rPr>
                      <w:color w:val="000000"/>
                      <w:kern w:val="0"/>
                      <w:szCs w:val="21"/>
                    </w:rPr>
                  </w:pPr>
                  <w:r>
                    <w:rPr>
                      <w:color w:val="000000"/>
                      <w:kern w:val="0"/>
                      <w:szCs w:val="21"/>
                    </w:rPr>
                    <w:t>F.装载危险废物的容器完好无损。</w:t>
                  </w:r>
                </w:p>
              </w:tc>
              <w:tc>
                <w:tcPr>
                  <w:tcW w:w="1663" w:type="pct"/>
                  <w:vMerge w:val="continue"/>
                  <w:tcBorders>
                    <w:left w:val="nil"/>
                    <w:bottom w:val="single" w:color="000000" w:sz="12" w:space="0"/>
                    <w:right w:val="nil"/>
                  </w:tcBorders>
                  <w:vAlign w:val="center"/>
                </w:tcPr>
                <w:p>
                  <w:pPr>
                    <w:autoSpaceDE w:val="0"/>
                    <w:autoSpaceDN w:val="0"/>
                    <w:jc w:val="center"/>
                    <w:rPr>
                      <w:color w:val="000000"/>
                      <w:kern w:val="0"/>
                      <w:szCs w:val="21"/>
                    </w:rPr>
                  </w:pPr>
                </w:p>
              </w:tc>
            </w:tr>
          </w:tbl>
          <w:p>
            <w:pPr>
              <w:tabs>
                <w:tab w:val="left" w:pos="0"/>
              </w:tabs>
              <w:spacing w:line="360" w:lineRule="auto"/>
              <w:ind w:firstLine="480" w:firstLineChars="200"/>
              <w:rPr>
                <w:color w:val="000000"/>
                <w:sz w:val="24"/>
              </w:rPr>
            </w:pPr>
            <w:r>
              <w:rPr>
                <w:color w:val="000000"/>
                <w:sz w:val="24"/>
              </w:rPr>
              <w:t>D</w:t>
            </w:r>
            <w:r>
              <w:rPr>
                <w:rFonts w:hint="eastAsia"/>
                <w:color w:val="000000"/>
                <w:sz w:val="24"/>
              </w:rPr>
              <w:t>、危险废物暂存管理要求</w:t>
            </w:r>
          </w:p>
          <w:p>
            <w:pPr>
              <w:tabs>
                <w:tab w:val="left" w:pos="0"/>
              </w:tabs>
              <w:spacing w:line="360" w:lineRule="auto"/>
              <w:ind w:firstLine="480" w:firstLineChars="200"/>
              <w:rPr>
                <w:color w:val="000000"/>
                <w:sz w:val="24"/>
              </w:rPr>
            </w:pPr>
            <w:r>
              <w:rPr>
                <w:rFonts w:hint="eastAsia"/>
                <w:color w:val="000000"/>
                <w:sz w:val="24"/>
              </w:rPr>
              <w:t xml:space="preserve">危废暂存间设立危险废物进出入台账登记管理制度，记录每次运送流程和处置去向，严格执行危险废物电子联单制度，实行对危险废物从源头到终端处理的全过程监管，确保危险废物 </w:t>
            </w:r>
            <w:r>
              <w:rPr>
                <w:color w:val="000000"/>
                <w:sz w:val="24"/>
              </w:rPr>
              <w:t>100%</w:t>
            </w:r>
            <w:r>
              <w:rPr>
                <w:rFonts w:hint="eastAsia"/>
                <w:color w:val="000000"/>
                <w:sz w:val="24"/>
              </w:rPr>
              <w:t>得到安全处置。</w:t>
            </w:r>
          </w:p>
          <w:p>
            <w:pPr>
              <w:tabs>
                <w:tab w:val="left" w:pos="0"/>
              </w:tabs>
              <w:spacing w:line="360" w:lineRule="auto"/>
              <w:rPr>
                <w:b/>
                <w:bCs/>
                <w:color w:val="000000"/>
                <w:sz w:val="24"/>
              </w:rPr>
            </w:pPr>
            <w:r>
              <w:rPr>
                <w:b/>
                <w:bCs/>
                <w:color w:val="000000"/>
                <w:sz w:val="24"/>
              </w:rPr>
              <w:t>4.4.2.</w:t>
            </w:r>
            <w:r>
              <w:rPr>
                <w:rFonts w:hint="eastAsia"/>
                <w:b/>
                <w:bCs/>
                <w:color w:val="000000"/>
                <w:sz w:val="24"/>
              </w:rPr>
              <w:t>4环境管理与监测</w:t>
            </w:r>
          </w:p>
          <w:p>
            <w:pPr>
              <w:tabs>
                <w:tab w:val="left" w:pos="0"/>
              </w:tabs>
              <w:spacing w:line="360" w:lineRule="auto"/>
              <w:ind w:firstLine="480" w:firstLineChars="200"/>
              <w:rPr>
                <w:color w:val="000000"/>
                <w:sz w:val="24"/>
              </w:rPr>
            </w:pPr>
            <w:r>
              <w:rPr>
                <w:rFonts w:hint="eastAsia"/>
                <w:color w:val="000000"/>
                <w:sz w:val="24"/>
              </w:rPr>
              <w:t>①本项目在日常营运中，应制定固废管理计划，将固废的产生、贮存、利用、处置等情况纳入生产记录，建立固废管理台账和企业内部产生和收集贮存部门危险废物交接制度。加强对危险废物包装、贮存的管理，严格执行危险废物转移联单制度，危险废物运输应符合本市危险废物运输污染防治技术规定，禁止将危险废物提供或委托给无危险废物经营许可证的单位从事收集、贮存、利用、处置等经营活动。</w:t>
            </w:r>
          </w:p>
          <w:p>
            <w:pPr>
              <w:tabs>
                <w:tab w:val="left" w:pos="0"/>
              </w:tabs>
              <w:spacing w:line="360" w:lineRule="auto"/>
              <w:ind w:firstLine="480" w:firstLineChars="200"/>
              <w:rPr>
                <w:color w:val="000000"/>
                <w:sz w:val="24"/>
              </w:rPr>
            </w:pPr>
            <w:r>
              <w:rPr>
                <w:rFonts w:hint="eastAsia"/>
                <w:color w:val="000000"/>
                <w:sz w:val="24"/>
              </w:rPr>
              <w:t>②建设单位应通过</w:t>
            </w:r>
            <w:r>
              <w:rPr>
                <w:color w:val="000000"/>
                <w:sz w:val="24"/>
              </w:rPr>
              <w:t>“</w:t>
            </w:r>
            <w:r>
              <w:rPr>
                <w:rFonts w:hint="eastAsia"/>
                <w:color w:val="000000"/>
                <w:sz w:val="24"/>
              </w:rPr>
              <w:t>江苏省危险废物动态管理信息系统</w:t>
            </w:r>
            <w:r>
              <w:rPr>
                <w:color w:val="000000"/>
                <w:sz w:val="24"/>
              </w:rPr>
              <w:t>”</w:t>
            </w:r>
            <w:r>
              <w:rPr>
                <w:rFonts w:hint="eastAsia"/>
                <w:color w:val="000000"/>
                <w:sz w:val="24"/>
              </w:rPr>
              <w:t>（江苏省环保厅网站）进行危险废物申报登记。</w:t>
            </w:r>
          </w:p>
          <w:p>
            <w:pPr>
              <w:tabs>
                <w:tab w:val="left" w:pos="0"/>
              </w:tabs>
              <w:spacing w:line="360" w:lineRule="auto"/>
              <w:ind w:firstLine="480" w:firstLineChars="200"/>
              <w:rPr>
                <w:color w:val="000000"/>
                <w:sz w:val="24"/>
              </w:rPr>
            </w:pPr>
            <w:r>
              <w:rPr>
                <w:rFonts w:hint="eastAsia"/>
                <w:color w:val="000000"/>
                <w:sz w:val="24"/>
              </w:rPr>
              <w:t>③企业为固体废物污染防治的责任主体，应建立风险管理及应急救援体系，执行环境监测计划、转移联单管理制度及国家和省有关转移管理的相关规定、处置过程安全操作规程、人员培训考核制度、档案管理制度、处置全过程管理制度等。</w:t>
            </w:r>
          </w:p>
          <w:p>
            <w:pPr>
              <w:tabs>
                <w:tab w:val="left" w:pos="0"/>
              </w:tabs>
              <w:spacing w:line="360" w:lineRule="auto"/>
              <w:ind w:firstLine="480" w:firstLineChars="200"/>
              <w:rPr>
                <w:color w:val="000000"/>
                <w:sz w:val="24"/>
              </w:rPr>
            </w:pPr>
            <w:r>
              <w:rPr>
                <w:rFonts w:hint="eastAsia"/>
                <w:color w:val="000000"/>
                <w:sz w:val="24"/>
              </w:rPr>
              <w:t>④危险废物贮存场所按照要求设置警告标志，危废包装、容器和贮存场所应按照《危险废物贮存污染控制标准》（</w:t>
            </w:r>
            <w:r>
              <w:rPr>
                <w:color w:val="000000"/>
                <w:sz w:val="24"/>
              </w:rPr>
              <w:t>GB18597-20</w:t>
            </w:r>
            <w:r>
              <w:rPr>
                <w:rFonts w:hint="eastAsia"/>
                <w:color w:val="000000"/>
                <w:sz w:val="24"/>
              </w:rPr>
              <w:t>23）、《危险废物识别标志设置技术规范》(HJ1276-2022)、省生态环境厅关于做好《危险废物存污染控制标准》等标准规范实施后危险废物环境管理衔接工作的通知（苏环办[2023]154号）有关要求张贴标识。</w:t>
            </w:r>
          </w:p>
          <w:p>
            <w:pPr>
              <w:tabs>
                <w:tab w:val="left" w:pos="0"/>
              </w:tabs>
              <w:spacing w:line="360" w:lineRule="auto"/>
              <w:ind w:firstLine="480" w:firstLineChars="200"/>
              <w:rPr>
                <w:color w:val="000000"/>
                <w:sz w:val="24"/>
              </w:rPr>
            </w:pPr>
            <w:r>
              <w:rPr>
                <w:color w:val="000000"/>
                <w:sz w:val="24"/>
              </w:rPr>
              <w:t>经上述分析可知，项目各类废物分类收集、分别存放，均得到了妥善的处理或处置，不会对周围环境产生二次污染。</w:t>
            </w:r>
          </w:p>
          <w:p>
            <w:pPr>
              <w:tabs>
                <w:tab w:val="left" w:pos="0"/>
              </w:tabs>
              <w:spacing w:line="360" w:lineRule="auto"/>
              <w:jc w:val="left"/>
              <w:rPr>
                <w:b/>
                <w:color w:val="000000"/>
                <w:sz w:val="24"/>
              </w:rPr>
            </w:pPr>
            <w:r>
              <w:rPr>
                <w:b/>
                <w:color w:val="000000"/>
                <w:sz w:val="24"/>
              </w:rPr>
              <w:t>4.5地下水、土壤影响及防治措施分析</w:t>
            </w:r>
          </w:p>
          <w:p>
            <w:pPr>
              <w:spacing w:line="360" w:lineRule="auto"/>
              <w:ind w:firstLine="480" w:firstLineChars="200"/>
              <w:jc w:val="left"/>
              <w:rPr>
                <w:color w:val="000000"/>
                <w:sz w:val="24"/>
              </w:rPr>
            </w:pPr>
            <w:r>
              <w:rPr>
                <w:color w:val="000000"/>
                <w:sz w:val="24"/>
                <w:lang w:bidi="ar"/>
              </w:rPr>
              <w:t>本项目土壤、地下水主要污染源有以下方面：</w:t>
            </w:r>
          </w:p>
          <w:p>
            <w:pPr>
              <w:spacing w:line="360" w:lineRule="auto"/>
              <w:ind w:firstLine="480" w:firstLineChars="200"/>
              <w:jc w:val="left"/>
              <w:rPr>
                <w:color w:val="000000"/>
                <w:sz w:val="24"/>
              </w:rPr>
            </w:pPr>
            <w:r>
              <w:rPr>
                <w:color w:val="000000"/>
                <w:sz w:val="24"/>
                <w:lang w:bidi="ar"/>
              </w:rPr>
              <w:t>（1）原辅料储存：原辅料泄漏可能通过垂直入渗、地面漫流对土壤及地下水产生影响。</w:t>
            </w:r>
          </w:p>
          <w:p>
            <w:pPr>
              <w:spacing w:line="360" w:lineRule="auto"/>
              <w:ind w:firstLine="480" w:firstLineChars="200"/>
              <w:jc w:val="left"/>
              <w:rPr>
                <w:color w:val="000000"/>
                <w:sz w:val="24"/>
              </w:rPr>
            </w:pPr>
            <w:r>
              <w:rPr>
                <w:color w:val="000000"/>
                <w:sz w:val="24"/>
                <w:lang w:bidi="ar"/>
              </w:rPr>
              <w:t>（2）固废暂存：危废及生活垃圾泄漏可能通过垂直入渗、地面漫流对土壤及地下水产生影响。</w:t>
            </w:r>
          </w:p>
          <w:p>
            <w:pPr>
              <w:spacing w:line="360" w:lineRule="auto"/>
              <w:ind w:firstLine="480" w:firstLineChars="200"/>
              <w:jc w:val="left"/>
              <w:rPr>
                <w:color w:val="000000"/>
                <w:sz w:val="24"/>
              </w:rPr>
            </w:pPr>
            <w:r>
              <w:rPr>
                <w:color w:val="000000"/>
                <w:sz w:val="24"/>
                <w:lang w:bidi="ar"/>
              </w:rPr>
              <w:t>（3）废气排放：可能通过大气沉降对土壤及地下水环境产生影响。</w:t>
            </w:r>
          </w:p>
          <w:p>
            <w:pPr>
              <w:spacing w:line="360" w:lineRule="auto"/>
              <w:ind w:firstLine="480" w:firstLineChars="200"/>
              <w:jc w:val="left"/>
              <w:rPr>
                <w:color w:val="000000"/>
                <w:sz w:val="24"/>
              </w:rPr>
            </w:pPr>
            <w:r>
              <w:rPr>
                <w:color w:val="000000"/>
                <w:sz w:val="24"/>
                <w:lang w:bidi="ar"/>
              </w:rPr>
              <w:t>（4）次生污染：泄漏、火灾、爆炸事故等产生的消防及事故废水，可能通过垂直入渗、地面漫流对土壤及地下水产生影响。</w:t>
            </w:r>
          </w:p>
          <w:p>
            <w:pPr>
              <w:tabs>
                <w:tab w:val="left" w:pos="0"/>
              </w:tabs>
              <w:spacing w:before="60"/>
              <w:jc w:val="center"/>
              <w:rPr>
                <w:b/>
                <w:color w:val="000000"/>
                <w:sz w:val="24"/>
              </w:rPr>
            </w:pPr>
            <w:r>
              <w:rPr>
                <w:b/>
                <w:color w:val="000000"/>
                <w:sz w:val="24"/>
              </w:rPr>
              <w:t>表 4-2</w:t>
            </w:r>
            <w:r>
              <w:rPr>
                <w:rFonts w:hint="eastAsia"/>
                <w:b/>
                <w:color w:val="000000"/>
                <w:sz w:val="24"/>
              </w:rPr>
              <w:t>9</w:t>
            </w:r>
            <w:r>
              <w:rPr>
                <w:b/>
                <w:color w:val="000000"/>
                <w:sz w:val="24"/>
              </w:rPr>
              <w:t xml:space="preserve">  地下水污染防渗分区情况</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31"/>
              <w:gridCol w:w="1342"/>
              <w:gridCol w:w="1175"/>
              <w:gridCol w:w="1589"/>
              <w:gridCol w:w="3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防渗分区</w:t>
                  </w: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天然包气带防污性能</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污染控制难易程度</w:t>
                  </w:r>
                </w:p>
              </w:tc>
              <w:tc>
                <w:tcPr>
                  <w:tcW w:w="876"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污染物类型</w:t>
                  </w:r>
                </w:p>
              </w:tc>
              <w:tc>
                <w:tcPr>
                  <w:tcW w:w="1945"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vMerge w:val="restart"/>
                  <w:tcBorders>
                    <w:top w:val="nil"/>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重点防渗区</w:t>
                  </w: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弱</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难</w:t>
                  </w:r>
                </w:p>
              </w:tc>
              <w:tc>
                <w:tcPr>
                  <w:tcW w:w="876" w:type="pct"/>
                  <w:vMerge w:val="restart"/>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重金属、持久性有机物污染物</w:t>
                  </w:r>
                </w:p>
              </w:tc>
              <w:tc>
                <w:tcPr>
                  <w:tcW w:w="1945" w:type="pct"/>
                  <w:vMerge w:val="restart"/>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color w:val="000000"/>
                      <w:spacing w:val="4"/>
                      <w:sz w:val="21"/>
                      <w:szCs w:val="21"/>
                    </w:rPr>
                  </w:pPr>
                  <w:r>
                    <w:rPr>
                      <w:rFonts w:ascii="Times New Roman" w:hAnsi="Times New Roman"/>
                      <w:color w:val="000000"/>
                      <w:spacing w:val="4"/>
                      <w:sz w:val="21"/>
                      <w:szCs w:val="21"/>
                      <w:lang w:bidi="ar"/>
                    </w:rPr>
                    <w:t>等效黏土防渗层Mb≥6.0m， K≥1×10</w:t>
                  </w:r>
                  <w:r>
                    <w:rPr>
                      <w:rFonts w:ascii="Times New Roman" w:hAnsi="Times New Roman"/>
                      <w:color w:val="000000"/>
                      <w:spacing w:val="4"/>
                      <w:sz w:val="21"/>
                      <w:szCs w:val="21"/>
                      <w:vertAlign w:val="superscript"/>
                      <w:lang w:bidi="ar"/>
                    </w:rPr>
                    <w:t>-7</w:t>
                  </w:r>
                  <w:r>
                    <w:rPr>
                      <w:rFonts w:ascii="Times New Roman" w:hAnsi="Times New Roman"/>
                      <w:color w:val="000000"/>
                      <w:spacing w:val="4"/>
                      <w:sz w:val="21"/>
                      <w:szCs w:val="21"/>
                      <w:lang w:bidi="ar"/>
                    </w:rPr>
                    <w:t>cm/s；或参照GB18598执行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vMerge w:val="continue"/>
                  <w:tcBorders>
                    <w:top w:val="nil"/>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中-强</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难</w:t>
                  </w:r>
                </w:p>
              </w:tc>
              <w:tc>
                <w:tcPr>
                  <w:tcW w:w="876" w:type="pct"/>
                  <w:vMerge w:val="continue"/>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1945" w:type="pct"/>
                  <w:vMerge w:val="continue"/>
                  <w:tcBorders>
                    <w:top w:val="nil"/>
                    <w:left w:val="nil"/>
                    <w:bottom w:val="single" w:color="auto" w:sz="4" w:space="0"/>
                    <w:right w:val="single" w:color="auto" w:sz="4" w:space="0"/>
                  </w:tcBorders>
                  <w:vAlign w:val="center"/>
                </w:tcPr>
                <w:p>
                  <w:pPr>
                    <w:rPr>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vMerge w:val="continue"/>
                  <w:tcBorders>
                    <w:top w:val="nil"/>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强</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易</w:t>
                  </w:r>
                </w:p>
              </w:tc>
              <w:tc>
                <w:tcPr>
                  <w:tcW w:w="876" w:type="pct"/>
                  <w:vMerge w:val="continue"/>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1945" w:type="pct"/>
                  <w:vMerge w:val="continue"/>
                  <w:tcBorders>
                    <w:top w:val="nil"/>
                    <w:left w:val="nil"/>
                    <w:bottom w:val="single" w:color="auto" w:sz="4" w:space="0"/>
                    <w:right w:val="single" w:color="auto" w:sz="4" w:space="0"/>
                  </w:tcBorders>
                  <w:vAlign w:val="center"/>
                </w:tcPr>
                <w:p>
                  <w:pPr>
                    <w:rPr>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vMerge w:val="restart"/>
                  <w:tcBorders>
                    <w:top w:val="nil"/>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一般防渗区</w:t>
                  </w: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弱</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易-难</w:t>
                  </w:r>
                </w:p>
              </w:tc>
              <w:tc>
                <w:tcPr>
                  <w:tcW w:w="876" w:type="pct"/>
                  <w:vMerge w:val="restart"/>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其他类型</w:t>
                  </w:r>
                </w:p>
              </w:tc>
              <w:tc>
                <w:tcPr>
                  <w:tcW w:w="1945" w:type="pct"/>
                  <w:vMerge w:val="restart"/>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color w:val="000000"/>
                      <w:spacing w:val="4"/>
                      <w:sz w:val="21"/>
                      <w:szCs w:val="21"/>
                    </w:rPr>
                  </w:pPr>
                  <w:r>
                    <w:rPr>
                      <w:rFonts w:ascii="Times New Roman" w:hAnsi="Times New Roman"/>
                      <w:color w:val="000000"/>
                      <w:spacing w:val="4"/>
                      <w:sz w:val="21"/>
                      <w:szCs w:val="21"/>
                      <w:lang w:bidi="ar"/>
                    </w:rPr>
                    <w:t>等效黏土防渗层Mb≥1.5m，K≥1×10</w:t>
                  </w:r>
                  <w:r>
                    <w:rPr>
                      <w:rFonts w:ascii="Times New Roman" w:hAnsi="Times New Roman"/>
                      <w:color w:val="000000"/>
                      <w:spacing w:val="4"/>
                      <w:sz w:val="21"/>
                      <w:szCs w:val="21"/>
                      <w:vertAlign w:val="superscript"/>
                      <w:lang w:bidi="ar"/>
                    </w:rPr>
                    <w:t>-7</w:t>
                  </w:r>
                  <w:r>
                    <w:rPr>
                      <w:rFonts w:ascii="Times New Roman" w:hAnsi="Times New Roman"/>
                      <w:color w:val="000000"/>
                      <w:spacing w:val="4"/>
                      <w:sz w:val="21"/>
                      <w:szCs w:val="21"/>
                      <w:lang w:bidi="ar"/>
                    </w:rPr>
                    <w:t>cm/s；或参照GB16889执行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vMerge w:val="continue"/>
                  <w:tcBorders>
                    <w:top w:val="nil"/>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中-强</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难</w:t>
                  </w:r>
                </w:p>
              </w:tc>
              <w:tc>
                <w:tcPr>
                  <w:tcW w:w="876" w:type="pct"/>
                  <w:vMerge w:val="continue"/>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1945" w:type="pct"/>
                  <w:vMerge w:val="continue"/>
                  <w:tcBorders>
                    <w:top w:val="nil"/>
                    <w:left w:val="nil"/>
                    <w:bottom w:val="single" w:color="auto" w:sz="4" w:space="0"/>
                    <w:right w:val="single" w:color="auto" w:sz="4" w:space="0"/>
                  </w:tcBorders>
                  <w:vAlign w:val="center"/>
                </w:tcPr>
                <w:p>
                  <w:pPr>
                    <w:rPr>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vMerge w:val="continue"/>
                  <w:tcBorders>
                    <w:top w:val="nil"/>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中</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易</w:t>
                  </w:r>
                </w:p>
              </w:tc>
              <w:tc>
                <w:tcPr>
                  <w:tcW w:w="876" w:type="pct"/>
                  <w:vMerge w:val="restart"/>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重金属、持久性有机物污染物</w:t>
                  </w:r>
                </w:p>
              </w:tc>
              <w:tc>
                <w:tcPr>
                  <w:tcW w:w="1945" w:type="pct"/>
                  <w:vMerge w:val="continue"/>
                  <w:tcBorders>
                    <w:top w:val="nil"/>
                    <w:left w:val="nil"/>
                    <w:bottom w:val="single" w:color="auto" w:sz="4" w:space="0"/>
                    <w:right w:val="single" w:color="auto" w:sz="4" w:space="0"/>
                  </w:tcBorders>
                  <w:vAlign w:val="center"/>
                </w:tcPr>
                <w:p>
                  <w:pPr>
                    <w:rPr>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vMerge w:val="continue"/>
                  <w:tcBorders>
                    <w:top w:val="nil"/>
                    <w:left w:val="single" w:color="auto" w:sz="4" w:space="0"/>
                    <w:bottom w:val="single" w:color="auto" w:sz="4" w:space="0"/>
                    <w:right w:val="single" w:color="auto" w:sz="4" w:space="0"/>
                  </w:tcBorders>
                  <w:vAlign w:val="center"/>
                </w:tcPr>
                <w:p>
                  <w:pPr>
                    <w:rPr>
                      <w:color w:val="000000"/>
                      <w:sz w:val="20"/>
                      <w:szCs w:val="20"/>
                    </w:rPr>
                  </w:pP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强</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易</w:t>
                  </w:r>
                </w:p>
              </w:tc>
              <w:tc>
                <w:tcPr>
                  <w:tcW w:w="876" w:type="pct"/>
                  <w:vMerge w:val="continue"/>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c>
                <w:tcPr>
                  <w:tcW w:w="1945" w:type="pct"/>
                  <w:vMerge w:val="continue"/>
                  <w:tcBorders>
                    <w:top w:val="nil"/>
                    <w:left w:val="nil"/>
                    <w:bottom w:val="single" w:color="auto" w:sz="4" w:space="0"/>
                    <w:right w:val="single" w:color="auto" w:sz="4" w:space="0"/>
                  </w:tcBorders>
                  <w:vAlign w:val="center"/>
                </w:tcPr>
                <w:p>
                  <w:pPr>
                    <w:rPr>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89" w:type="pct"/>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简单防渗区</w:t>
                  </w:r>
                </w:p>
              </w:tc>
              <w:tc>
                <w:tcPr>
                  <w:tcW w:w="740"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中-强</w:t>
                  </w:r>
                </w:p>
              </w:tc>
              <w:tc>
                <w:tcPr>
                  <w:tcW w:w="64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易</w:t>
                  </w:r>
                </w:p>
              </w:tc>
              <w:tc>
                <w:tcPr>
                  <w:tcW w:w="876"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其他类型</w:t>
                  </w:r>
                </w:p>
              </w:tc>
              <w:tc>
                <w:tcPr>
                  <w:tcW w:w="1945"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一般地面硬化</w:t>
                  </w:r>
                </w:p>
              </w:tc>
            </w:tr>
          </w:tbl>
          <w:p>
            <w:pPr>
              <w:tabs>
                <w:tab w:val="left" w:pos="0"/>
              </w:tabs>
              <w:spacing w:before="60"/>
              <w:jc w:val="center"/>
              <w:rPr>
                <w:b/>
                <w:color w:val="000000"/>
                <w:sz w:val="24"/>
              </w:rPr>
            </w:pPr>
          </w:p>
          <w:p>
            <w:pPr>
              <w:tabs>
                <w:tab w:val="left" w:pos="0"/>
              </w:tabs>
              <w:spacing w:before="60"/>
              <w:jc w:val="center"/>
              <w:rPr>
                <w:b/>
                <w:color w:val="000000"/>
                <w:sz w:val="24"/>
              </w:rPr>
            </w:pPr>
            <w:r>
              <w:rPr>
                <w:b/>
                <w:color w:val="000000"/>
                <w:sz w:val="24"/>
              </w:rPr>
              <w:t>表 4-</w:t>
            </w:r>
            <w:r>
              <w:rPr>
                <w:rFonts w:hint="eastAsia"/>
                <w:b/>
                <w:color w:val="000000"/>
                <w:sz w:val="24"/>
              </w:rPr>
              <w:t>30</w:t>
            </w:r>
            <w:r>
              <w:rPr>
                <w:b/>
                <w:color w:val="000000"/>
                <w:sz w:val="24"/>
              </w:rPr>
              <w:t xml:space="preserve"> 项目防渗措施</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17"/>
              <w:gridCol w:w="1701"/>
              <w:gridCol w:w="2621"/>
              <w:gridCol w:w="2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57" w:type="pct"/>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类别</w:t>
                  </w:r>
                </w:p>
              </w:tc>
              <w:tc>
                <w:tcPr>
                  <w:tcW w:w="93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建（构）筑物</w:t>
                  </w:r>
                </w:p>
              </w:tc>
              <w:tc>
                <w:tcPr>
                  <w:tcW w:w="1445"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防渗措施</w:t>
                  </w:r>
                </w:p>
              </w:tc>
              <w:tc>
                <w:tcPr>
                  <w:tcW w:w="155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
                      <w:color w:val="000000"/>
                      <w:spacing w:val="4"/>
                      <w:sz w:val="21"/>
                      <w:szCs w:val="21"/>
                    </w:rPr>
                  </w:pPr>
                  <w:r>
                    <w:rPr>
                      <w:rFonts w:ascii="Times New Roman" w:hAnsi="Times New Roman"/>
                      <w:b/>
                      <w:color w:val="000000"/>
                      <w:spacing w:val="4"/>
                      <w:sz w:val="21"/>
                      <w:szCs w:val="21"/>
                      <w:lang w:bidi="ar"/>
                    </w:rPr>
                    <w:t>泄漏收集措施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57" w:type="pct"/>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重点防渗区</w:t>
                  </w:r>
                </w:p>
              </w:tc>
              <w:tc>
                <w:tcPr>
                  <w:tcW w:w="93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化学品存放区、危废仓库</w:t>
                  </w:r>
                </w:p>
              </w:tc>
              <w:tc>
                <w:tcPr>
                  <w:tcW w:w="1445"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地面铺设强度等级C25、抗渗等级P6、厚度100mm的抗渗混凝土，及2mm厚的耐腐蚀环氧树脂硬化地面，表面无裂隙。</w:t>
                  </w:r>
                </w:p>
              </w:tc>
              <w:tc>
                <w:tcPr>
                  <w:tcW w:w="1558" w:type="pct"/>
                  <w:vMerge w:val="restart"/>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液体泄漏物用砂土或其他不燃吸附剂吸附，收集于容器内并外送委托相应资质单位处理。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57" w:type="pct"/>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简单防渗区</w:t>
                  </w:r>
                </w:p>
              </w:tc>
              <w:tc>
                <w:tcPr>
                  <w:tcW w:w="938"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其他区域</w:t>
                  </w:r>
                </w:p>
              </w:tc>
              <w:tc>
                <w:tcPr>
                  <w:tcW w:w="1445" w:type="pct"/>
                  <w:tcBorders>
                    <w:top w:val="single" w:color="auto" w:sz="4" w:space="0"/>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r>
                    <w:rPr>
                      <w:rFonts w:ascii="Times New Roman" w:hAnsi="Times New Roman"/>
                      <w:bCs/>
                      <w:color w:val="000000"/>
                      <w:kern w:val="2"/>
                      <w:sz w:val="21"/>
                      <w:szCs w:val="21"/>
                    </w:rPr>
                    <w:t>地面硬化</w:t>
                  </w:r>
                </w:p>
              </w:tc>
              <w:tc>
                <w:tcPr>
                  <w:tcW w:w="1558" w:type="pct"/>
                  <w:vMerge w:val="continue"/>
                  <w:tcBorders>
                    <w:top w:val="nil"/>
                    <w:left w:val="nil"/>
                    <w:bottom w:val="single" w:color="auto" w:sz="4" w:space="0"/>
                    <w:right w:val="single" w:color="auto" w:sz="4" w:space="0"/>
                  </w:tcBorders>
                  <w:vAlign w:val="center"/>
                </w:tcPr>
                <w:p>
                  <w:pPr>
                    <w:pStyle w:val="17"/>
                    <w:adjustRightInd w:val="0"/>
                    <w:snapToGrid w:val="0"/>
                    <w:spacing w:before="0" w:beforeAutospacing="0" w:after="0" w:afterAutospacing="0"/>
                    <w:jc w:val="center"/>
                    <w:textAlignment w:val="baseline"/>
                    <w:rPr>
                      <w:rFonts w:ascii="Times New Roman" w:hAnsi="Times New Roman"/>
                      <w:bCs/>
                      <w:color w:val="000000"/>
                      <w:kern w:val="2"/>
                      <w:sz w:val="21"/>
                      <w:szCs w:val="21"/>
                    </w:rPr>
                  </w:pPr>
                </w:p>
              </w:tc>
            </w:tr>
          </w:tbl>
          <w:p>
            <w:pPr>
              <w:spacing w:line="360" w:lineRule="auto"/>
              <w:ind w:firstLine="480" w:firstLineChars="200"/>
              <w:jc w:val="left"/>
              <w:rPr>
                <w:color w:val="000000"/>
                <w:sz w:val="24"/>
              </w:rPr>
            </w:pPr>
            <w:r>
              <w:rPr>
                <w:color w:val="000000"/>
                <w:sz w:val="24"/>
                <w:lang w:bidi="ar"/>
              </w:rPr>
              <w:t xml:space="preserve">为保护地下水及土壤环境，建议企业采取以下污染防治措施及环境管理措施： </w:t>
            </w:r>
          </w:p>
          <w:p>
            <w:pPr>
              <w:spacing w:line="360" w:lineRule="auto"/>
              <w:ind w:firstLine="480" w:firstLineChars="200"/>
              <w:jc w:val="left"/>
              <w:outlineLvl w:val="0"/>
              <w:rPr>
                <w:color w:val="000000"/>
                <w:sz w:val="24"/>
              </w:rPr>
            </w:pPr>
            <w:r>
              <w:rPr>
                <w:color w:val="000000"/>
                <w:sz w:val="24"/>
                <w:lang w:bidi="ar"/>
              </w:rPr>
              <w:t>①企业生产车间地面铺设环氧地坪，做好防渗、防漏、防腐蚀;固废分类收集、存放，一般固废暂存于一般固废暂存场所，防风、防雨，地面进行硬化；危险废物贮存于危废暂存场所，采用密闭桶装储存，并采用防泄漏托盘放置，地面铺设环氧地坪等，做好防渗、防漏、防腐蚀、防晒、防淋等措施；</w:t>
            </w:r>
          </w:p>
          <w:p>
            <w:pPr>
              <w:spacing w:line="360" w:lineRule="auto"/>
              <w:ind w:firstLine="480" w:firstLineChars="200"/>
              <w:jc w:val="left"/>
              <w:outlineLvl w:val="0"/>
              <w:rPr>
                <w:color w:val="000000"/>
                <w:sz w:val="24"/>
              </w:rPr>
            </w:pPr>
            <w:r>
              <w:rPr>
                <w:color w:val="000000"/>
                <w:sz w:val="24"/>
                <w:lang w:bidi="ar"/>
              </w:rPr>
              <w:t>②生产过程严格控制，定期对设备等进行检修，防止跑、冒、滴、漏现象发生;企业原辅料均堆放在仓库内，分区存放，能有效避免雨水淋溶等对土壤和地表水造成二次污染；厂区内污水管网均采用管道输送，清污分流，保证污水能够顺畅排入市政污水管网。</w:t>
            </w:r>
          </w:p>
          <w:p>
            <w:pPr>
              <w:spacing w:line="360" w:lineRule="auto"/>
              <w:ind w:firstLine="480" w:firstLineChars="200"/>
              <w:jc w:val="left"/>
              <w:outlineLvl w:val="0"/>
              <w:rPr>
                <w:color w:val="000000"/>
                <w:sz w:val="24"/>
              </w:rPr>
            </w:pPr>
            <w:r>
              <w:rPr>
                <w:color w:val="000000"/>
                <w:sz w:val="24"/>
                <w:lang w:bidi="ar"/>
              </w:rPr>
              <w:t>在充分落实以上防渗措施及加强环境管理的前提下，项目建设能够达到保护土壤及地下水环境的目的。</w:t>
            </w:r>
          </w:p>
          <w:p>
            <w:pPr>
              <w:spacing w:line="360" w:lineRule="auto"/>
              <w:ind w:firstLine="480" w:firstLineChars="200"/>
              <w:jc w:val="left"/>
              <w:outlineLvl w:val="0"/>
              <w:rPr>
                <w:b/>
                <w:color w:val="000000"/>
                <w:kern w:val="44"/>
                <w:sz w:val="24"/>
              </w:rPr>
            </w:pPr>
            <w:r>
              <w:rPr>
                <w:color w:val="000000"/>
                <w:sz w:val="24"/>
                <w:lang w:bidi="ar"/>
              </w:rPr>
              <w:t>（3）跟踪监测</w:t>
            </w:r>
          </w:p>
          <w:p>
            <w:pPr>
              <w:spacing w:line="360" w:lineRule="auto"/>
              <w:ind w:firstLine="480" w:firstLineChars="200"/>
              <w:jc w:val="left"/>
              <w:rPr>
                <w:color w:val="000000"/>
                <w:sz w:val="24"/>
              </w:rPr>
            </w:pPr>
            <w:r>
              <w:rPr>
                <w:color w:val="000000"/>
                <w:sz w:val="24"/>
                <w:lang w:bidi="ar"/>
              </w:rPr>
              <w:t>为了及时准确掌握项目区及周边敏感点土壤和地下水环境质量状况，本项目拟建立覆盖全区的土壤和地下水长期监控系统，包括科学、合理地设置土壤和地下水监测点，建立完善的监测制度，以便及时发现并及时控制。</w:t>
            </w:r>
          </w:p>
          <w:p>
            <w:pPr>
              <w:spacing w:line="360" w:lineRule="auto"/>
              <w:ind w:firstLine="480" w:firstLineChars="200"/>
              <w:contextualSpacing/>
              <w:jc w:val="left"/>
              <w:rPr>
                <w:color w:val="000000"/>
                <w:kern w:val="0"/>
                <w:sz w:val="24"/>
              </w:rPr>
            </w:pPr>
            <w:r>
              <w:rPr>
                <w:color w:val="000000"/>
                <w:kern w:val="0"/>
                <w:sz w:val="24"/>
                <w:lang w:bidi="ar"/>
              </w:rPr>
              <w:t>本项目土壤和地下水环境跟踪监测措施包括制定跟踪监测计划、建立跟踪监测制度，以便及时发现问题，采取防治土壤和地下水污染措施。</w:t>
            </w:r>
          </w:p>
          <w:p>
            <w:pPr>
              <w:spacing w:line="360" w:lineRule="auto"/>
              <w:ind w:firstLine="480" w:firstLineChars="200"/>
              <w:contextualSpacing/>
              <w:jc w:val="left"/>
              <w:rPr>
                <w:color w:val="000000"/>
                <w:kern w:val="0"/>
                <w:sz w:val="24"/>
              </w:rPr>
            </w:pPr>
            <w:r>
              <w:rPr>
                <w:color w:val="000000"/>
                <w:kern w:val="0"/>
                <w:sz w:val="24"/>
                <w:lang w:bidi="ar"/>
              </w:rPr>
              <w:t>监测点位：监测点位布设在重点影响区和环境敏感目标附近；</w:t>
            </w:r>
          </w:p>
          <w:p>
            <w:pPr>
              <w:spacing w:line="360" w:lineRule="auto"/>
              <w:ind w:firstLine="480" w:firstLineChars="200"/>
              <w:contextualSpacing/>
              <w:jc w:val="left"/>
              <w:rPr>
                <w:color w:val="000000"/>
                <w:kern w:val="0"/>
                <w:sz w:val="24"/>
              </w:rPr>
            </w:pPr>
            <w:r>
              <w:rPr>
                <w:color w:val="000000"/>
                <w:kern w:val="0"/>
                <w:sz w:val="24"/>
                <w:lang w:bidi="ar"/>
              </w:rPr>
              <w:t>监测因子：监测指标选择建设项目特征因子及污染重点污染物；</w:t>
            </w:r>
          </w:p>
          <w:p>
            <w:pPr>
              <w:spacing w:line="360" w:lineRule="auto"/>
              <w:ind w:firstLine="480" w:firstLineChars="200"/>
              <w:contextualSpacing/>
              <w:jc w:val="left"/>
              <w:rPr>
                <w:color w:val="000000"/>
                <w:kern w:val="0"/>
                <w:sz w:val="24"/>
              </w:rPr>
            </w:pPr>
            <w:r>
              <w:rPr>
                <w:color w:val="000000"/>
                <w:kern w:val="0"/>
                <w:sz w:val="24"/>
                <w:lang w:bidi="ar"/>
              </w:rPr>
              <w:t>监测频次：项目投产运行后必要时监测一次。</w:t>
            </w:r>
          </w:p>
          <w:p>
            <w:pPr>
              <w:spacing w:line="360" w:lineRule="auto"/>
              <w:ind w:firstLine="480" w:firstLineChars="200"/>
              <w:jc w:val="left"/>
              <w:rPr>
                <w:color w:val="000000"/>
                <w:kern w:val="0"/>
                <w:sz w:val="24"/>
                <w:lang w:bidi="ar"/>
              </w:rPr>
            </w:pPr>
            <w:r>
              <w:rPr>
                <w:color w:val="000000"/>
                <w:kern w:val="0"/>
                <w:sz w:val="24"/>
                <w:lang w:bidi="ar"/>
              </w:rPr>
              <w:t>上述监测结果应及时建立档案，如发现异常或发生事故，加密监测频次，改为每天监测一次，并分析污染原因，确定泄漏污染源，及时采取对应应急措施。</w:t>
            </w:r>
          </w:p>
          <w:p>
            <w:pPr>
              <w:spacing w:line="360" w:lineRule="auto"/>
              <w:jc w:val="left"/>
              <w:rPr>
                <w:b/>
                <w:color w:val="000000"/>
                <w:sz w:val="24"/>
              </w:rPr>
            </w:pPr>
            <w:r>
              <w:rPr>
                <w:b/>
                <w:color w:val="000000"/>
                <w:sz w:val="24"/>
                <w:lang w:bidi="ar"/>
              </w:rPr>
              <w:t>4.6生态环境影响</w:t>
            </w:r>
          </w:p>
          <w:p>
            <w:pPr>
              <w:spacing w:line="360" w:lineRule="auto"/>
              <w:ind w:firstLine="480" w:firstLineChars="200"/>
              <w:jc w:val="left"/>
              <w:rPr>
                <w:color w:val="000000"/>
                <w:sz w:val="24"/>
              </w:rPr>
            </w:pPr>
            <w:r>
              <w:rPr>
                <w:color w:val="000000"/>
                <w:sz w:val="24"/>
                <w:lang w:bidi="ar"/>
              </w:rPr>
              <w:t>项目位于苏州高新区</w:t>
            </w:r>
            <w:r>
              <w:rPr>
                <w:rFonts w:hint="eastAsia"/>
                <w:color w:val="000000"/>
                <w:sz w:val="24"/>
                <w:lang w:bidi="ar"/>
              </w:rPr>
              <w:t>东渚街道金沙江路158号12号</w:t>
            </w:r>
            <w:r>
              <w:rPr>
                <w:color w:val="000000"/>
                <w:sz w:val="24"/>
                <w:lang w:bidi="ar"/>
              </w:rPr>
              <w:t>，项目</w:t>
            </w:r>
            <w:r>
              <w:rPr>
                <w:rFonts w:hint="eastAsia"/>
                <w:color w:val="000000"/>
                <w:sz w:val="24"/>
                <w:lang w:bidi="ar"/>
              </w:rPr>
              <w:t>购买已建成厂房</w:t>
            </w:r>
            <w:r>
              <w:rPr>
                <w:color w:val="000000"/>
                <w:sz w:val="24"/>
                <w:lang w:bidi="ar"/>
              </w:rPr>
              <w:t>，不新增用地，不会对周边生态环境造成明显影响。</w:t>
            </w:r>
          </w:p>
          <w:p>
            <w:pPr>
              <w:tabs>
                <w:tab w:val="left" w:pos="0"/>
              </w:tabs>
              <w:spacing w:line="360" w:lineRule="auto"/>
              <w:jc w:val="left"/>
              <w:rPr>
                <w:b/>
                <w:color w:val="000000"/>
                <w:sz w:val="24"/>
              </w:rPr>
            </w:pPr>
            <w:r>
              <w:rPr>
                <w:b/>
                <w:color w:val="000000"/>
                <w:sz w:val="24"/>
              </w:rPr>
              <w:t>4.7环境风险影响及防治措施分析</w:t>
            </w:r>
          </w:p>
          <w:p>
            <w:pPr>
              <w:tabs>
                <w:tab w:val="left" w:pos="0"/>
              </w:tabs>
              <w:spacing w:line="360" w:lineRule="auto"/>
              <w:ind w:firstLine="480" w:firstLineChars="200"/>
              <w:rPr>
                <w:color w:val="000000"/>
                <w:sz w:val="24"/>
              </w:rPr>
            </w:pPr>
            <w:r>
              <w:rPr>
                <w:color w:val="000000"/>
                <w:sz w:val="24"/>
              </w:rPr>
              <w:t>（1）评价依据</w:t>
            </w:r>
          </w:p>
          <w:p>
            <w:pPr>
              <w:tabs>
                <w:tab w:val="left" w:pos="0"/>
              </w:tabs>
              <w:spacing w:line="360" w:lineRule="auto"/>
              <w:ind w:firstLine="480" w:firstLineChars="200"/>
              <w:rPr>
                <w:color w:val="000000"/>
                <w:sz w:val="24"/>
              </w:rPr>
            </w:pPr>
            <w:r>
              <w:rPr>
                <w:color w:val="000000"/>
                <w:sz w:val="24"/>
              </w:rPr>
              <w:t>①风险调查</w:t>
            </w:r>
          </w:p>
          <w:p>
            <w:pPr>
              <w:tabs>
                <w:tab w:val="left" w:pos="0"/>
              </w:tabs>
              <w:spacing w:line="360" w:lineRule="auto"/>
              <w:ind w:firstLine="480" w:firstLineChars="200"/>
              <w:jc w:val="left"/>
              <w:rPr>
                <w:b/>
                <w:color w:val="000000"/>
                <w:sz w:val="24"/>
              </w:rPr>
            </w:pPr>
            <w:r>
              <w:rPr>
                <w:color w:val="000000"/>
                <w:sz w:val="24"/>
              </w:rPr>
              <w:t>根据《建设项目环境风险评价技术导则》（HJ169-2018）中附录B表B.1，确定本项目的危险物质年使用量、储存量以及分布情况见下表。</w:t>
            </w:r>
          </w:p>
          <w:p>
            <w:pPr>
              <w:snapToGrid w:val="0"/>
              <w:spacing w:before="60"/>
              <w:jc w:val="center"/>
              <w:rPr>
                <w:b/>
                <w:color w:val="000000"/>
                <w:sz w:val="24"/>
              </w:rPr>
            </w:pPr>
            <w:r>
              <w:rPr>
                <w:b/>
                <w:color w:val="000000"/>
                <w:sz w:val="24"/>
              </w:rPr>
              <w:t>表4-30  项目风险源调查情况汇总表</w:t>
            </w:r>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51"/>
              <w:gridCol w:w="1212"/>
              <w:gridCol w:w="2346"/>
              <w:gridCol w:w="1478"/>
              <w:gridCol w:w="1181"/>
              <w:gridCol w:w="1157"/>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4" w:type="pct"/>
                  <w:vAlign w:val="center"/>
                </w:tcPr>
                <w:p>
                  <w:pPr>
                    <w:widowControl/>
                    <w:tabs>
                      <w:tab w:val="left" w:pos="0"/>
                    </w:tabs>
                    <w:jc w:val="center"/>
                    <w:rPr>
                      <w:b/>
                      <w:color w:val="000000"/>
                      <w:szCs w:val="21"/>
                    </w:rPr>
                  </w:pPr>
                  <w:r>
                    <w:rPr>
                      <w:b/>
                      <w:color w:val="000000"/>
                      <w:szCs w:val="21"/>
                    </w:rPr>
                    <w:t>序号</w:t>
                  </w:r>
                </w:p>
              </w:tc>
              <w:tc>
                <w:tcPr>
                  <w:tcW w:w="668" w:type="pct"/>
                  <w:vAlign w:val="center"/>
                </w:tcPr>
                <w:p>
                  <w:pPr>
                    <w:widowControl/>
                    <w:tabs>
                      <w:tab w:val="left" w:pos="0"/>
                    </w:tabs>
                    <w:jc w:val="center"/>
                    <w:rPr>
                      <w:b/>
                      <w:color w:val="000000"/>
                      <w:szCs w:val="21"/>
                    </w:rPr>
                  </w:pPr>
                  <w:r>
                    <w:rPr>
                      <w:b/>
                      <w:color w:val="000000"/>
                      <w:szCs w:val="21"/>
                    </w:rPr>
                    <w:t>危险物质名称</w:t>
                  </w:r>
                </w:p>
              </w:tc>
              <w:tc>
                <w:tcPr>
                  <w:tcW w:w="1293" w:type="pct"/>
                  <w:vAlign w:val="center"/>
                </w:tcPr>
                <w:p>
                  <w:pPr>
                    <w:widowControl/>
                    <w:tabs>
                      <w:tab w:val="left" w:pos="0"/>
                    </w:tabs>
                    <w:jc w:val="center"/>
                    <w:rPr>
                      <w:b/>
                      <w:color w:val="000000"/>
                      <w:szCs w:val="21"/>
                    </w:rPr>
                  </w:pPr>
                  <w:r>
                    <w:rPr>
                      <w:b/>
                      <w:color w:val="000000"/>
                      <w:szCs w:val="21"/>
                    </w:rPr>
                    <w:t>成分规格</w:t>
                  </w:r>
                </w:p>
              </w:tc>
              <w:tc>
                <w:tcPr>
                  <w:tcW w:w="815" w:type="pct"/>
                  <w:vAlign w:val="center"/>
                </w:tcPr>
                <w:p>
                  <w:pPr>
                    <w:widowControl/>
                    <w:tabs>
                      <w:tab w:val="left" w:pos="0"/>
                    </w:tabs>
                    <w:jc w:val="center"/>
                    <w:rPr>
                      <w:b/>
                      <w:color w:val="000000"/>
                      <w:szCs w:val="21"/>
                    </w:rPr>
                  </w:pPr>
                  <w:r>
                    <w:rPr>
                      <w:b/>
                      <w:color w:val="000000"/>
                      <w:szCs w:val="21"/>
                    </w:rPr>
                    <w:t>消耗量/产生量（t/a）</w:t>
                  </w:r>
                </w:p>
              </w:tc>
              <w:tc>
                <w:tcPr>
                  <w:tcW w:w="651" w:type="pct"/>
                  <w:vAlign w:val="center"/>
                </w:tcPr>
                <w:p>
                  <w:pPr>
                    <w:widowControl/>
                    <w:tabs>
                      <w:tab w:val="left" w:pos="0"/>
                    </w:tabs>
                    <w:jc w:val="center"/>
                    <w:rPr>
                      <w:b/>
                      <w:color w:val="000000"/>
                      <w:szCs w:val="21"/>
                    </w:rPr>
                  </w:pPr>
                  <w:r>
                    <w:rPr>
                      <w:b/>
                      <w:color w:val="000000"/>
                      <w:szCs w:val="21"/>
                    </w:rPr>
                    <w:t>最大储存量（t）</w:t>
                  </w:r>
                </w:p>
              </w:tc>
              <w:tc>
                <w:tcPr>
                  <w:tcW w:w="638" w:type="pct"/>
                  <w:vAlign w:val="center"/>
                </w:tcPr>
                <w:p>
                  <w:pPr>
                    <w:widowControl/>
                    <w:tabs>
                      <w:tab w:val="left" w:pos="0"/>
                    </w:tabs>
                    <w:jc w:val="center"/>
                    <w:rPr>
                      <w:b/>
                      <w:color w:val="000000"/>
                      <w:szCs w:val="21"/>
                    </w:rPr>
                  </w:pPr>
                  <w:r>
                    <w:rPr>
                      <w:b/>
                      <w:color w:val="000000"/>
                      <w:szCs w:val="21"/>
                    </w:rPr>
                    <w:t>储存</w:t>
                  </w:r>
                </w:p>
                <w:p>
                  <w:pPr>
                    <w:widowControl/>
                    <w:tabs>
                      <w:tab w:val="left" w:pos="0"/>
                    </w:tabs>
                    <w:jc w:val="center"/>
                    <w:rPr>
                      <w:b/>
                      <w:color w:val="000000"/>
                      <w:szCs w:val="21"/>
                    </w:rPr>
                  </w:pPr>
                  <w:r>
                    <w:rPr>
                      <w:b/>
                      <w:color w:val="000000"/>
                      <w:szCs w:val="21"/>
                    </w:rPr>
                    <w:t>方式</w:t>
                  </w:r>
                </w:p>
              </w:tc>
              <w:tc>
                <w:tcPr>
                  <w:tcW w:w="628" w:type="pct"/>
                  <w:vAlign w:val="center"/>
                </w:tcPr>
                <w:p>
                  <w:pPr>
                    <w:widowControl/>
                    <w:tabs>
                      <w:tab w:val="left" w:pos="0"/>
                    </w:tabs>
                    <w:jc w:val="center"/>
                    <w:rPr>
                      <w:b/>
                      <w:color w:val="000000"/>
                      <w:szCs w:val="21"/>
                    </w:rPr>
                  </w:pPr>
                  <w:r>
                    <w:rPr>
                      <w:b/>
                      <w:color w:val="000000"/>
                      <w:szCs w:val="21"/>
                    </w:rPr>
                    <w:t>分布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4" w:type="pct"/>
                  <w:vAlign w:val="center"/>
                </w:tcPr>
                <w:p>
                  <w:pPr>
                    <w:widowControl/>
                    <w:tabs>
                      <w:tab w:val="left" w:pos="0"/>
                    </w:tabs>
                    <w:jc w:val="center"/>
                    <w:rPr>
                      <w:color w:val="000000"/>
                      <w:szCs w:val="21"/>
                    </w:rPr>
                  </w:pPr>
                  <w:r>
                    <w:rPr>
                      <w:color w:val="000000"/>
                      <w:szCs w:val="21"/>
                    </w:rPr>
                    <w:t>1</w:t>
                  </w:r>
                </w:p>
              </w:tc>
              <w:tc>
                <w:tcPr>
                  <w:tcW w:w="668" w:type="pct"/>
                  <w:vAlign w:val="center"/>
                </w:tcPr>
                <w:p>
                  <w:pPr>
                    <w:pStyle w:val="49"/>
                    <w:spacing w:before="0" w:after="0" w:line="240" w:lineRule="auto"/>
                    <w:ind w:right="0"/>
                    <w:rPr>
                      <w:rFonts w:ascii="Times New Roman" w:hAnsi="Times New Roman" w:eastAsia="宋体"/>
                      <w:color w:val="000000"/>
                      <w:kern w:val="2"/>
                      <w:sz w:val="21"/>
                      <w:szCs w:val="24"/>
                    </w:rPr>
                  </w:pPr>
                  <w:r>
                    <w:rPr>
                      <w:rFonts w:hint="eastAsia" w:ascii="Times New Roman" w:hAnsi="Times New Roman" w:eastAsia="宋体"/>
                      <w:color w:val="000000"/>
                      <w:sz w:val="21"/>
                      <w:szCs w:val="21"/>
                      <w:lang w:eastAsia="zh-CN"/>
                    </w:rPr>
                    <w:t>网版</w:t>
                  </w:r>
                  <w:r>
                    <w:rPr>
                      <w:rFonts w:hint="eastAsia" w:ascii="Times New Roman" w:hAnsi="Times New Roman" w:eastAsia="宋体"/>
                      <w:color w:val="000000"/>
                      <w:sz w:val="21"/>
                      <w:szCs w:val="21"/>
                    </w:rPr>
                    <w:t>清洗剂</w:t>
                  </w:r>
                </w:p>
              </w:tc>
              <w:tc>
                <w:tcPr>
                  <w:tcW w:w="1293" w:type="pct"/>
                  <w:vAlign w:val="center"/>
                </w:tcPr>
                <w:p>
                  <w:pPr>
                    <w:widowControl/>
                    <w:tabs>
                      <w:tab w:val="left" w:pos="0"/>
                    </w:tabs>
                    <w:adjustRightInd w:val="0"/>
                    <w:jc w:val="center"/>
                    <w:textAlignment w:val="baseline"/>
                    <w:rPr>
                      <w:color w:val="000000"/>
                    </w:rPr>
                  </w:pPr>
                  <w:r>
                    <w:rPr>
                      <w:color w:val="000000"/>
                    </w:rPr>
                    <w:t>95%乙醇</w:t>
                  </w:r>
                </w:p>
              </w:tc>
              <w:tc>
                <w:tcPr>
                  <w:tcW w:w="815" w:type="pct"/>
                  <w:vAlign w:val="center"/>
                </w:tcPr>
                <w:p>
                  <w:pPr>
                    <w:adjustRightInd w:val="0"/>
                    <w:snapToGrid w:val="0"/>
                    <w:jc w:val="center"/>
                    <w:rPr>
                      <w:rFonts w:hint="eastAsia" w:eastAsia="宋体"/>
                      <w:color w:val="000000"/>
                      <w:lang w:eastAsia="zh-CN"/>
                    </w:rPr>
                  </w:pPr>
                  <w:r>
                    <w:rPr>
                      <w:rFonts w:hint="eastAsia"/>
                      <w:color w:val="000000"/>
                      <w:szCs w:val="21"/>
                      <w:lang w:val="en-US" w:eastAsia="zh-CN"/>
                    </w:rPr>
                    <w:t>1</w:t>
                  </w:r>
                </w:p>
              </w:tc>
              <w:tc>
                <w:tcPr>
                  <w:tcW w:w="651" w:type="pct"/>
                  <w:vAlign w:val="center"/>
                </w:tcPr>
                <w:p>
                  <w:pPr>
                    <w:pStyle w:val="38"/>
                    <w:spacing w:beforeLines="0" w:after="24" w:line="240" w:lineRule="auto"/>
                    <w:ind w:firstLine="0"/>
                    <w:rPr>
                      <w:rFonts w:ascii="Times New Roman" w:eastAsia="宋体"/>
                      <w:color w:val="000000"/>
                      <w:spacing w:val="0"/>
                      <w:kern w:val="2"/>
                      <w:szCs w:val="22"/>
                    </w:rPr>
                  </w:pPr>
                  <w:r>
                    <w:rPr>
                      <w:rFonts w:hint="eastAsia" w:ascii="Times New Roman" w:eastAsia="宋体"/>
                      <w:bCs/>
                      <w:color w:val="000000"/>
                      <w:szCs w:val="21"/>
                    </w:rPr>
                    <w:t>0.05</w:t>
                  </w:r>
                </w:p>
              </w:tc>
              <w:tc>
                <w:tcPr>
                  <w:tcW w:w="638" w:type="pct"/>
                  <w:vAlign w:val="center"/>
                </w:tcPr>
                <w:p>
                  <w:pPr>
                    <w:widowControl/>
                    <w:tabs>
                      <w:tab w:val="left" w:pos="0"/>
                    </w:tabs>
                    <w:adjustRightInd w:val="0"/>
                    <w:jc w:val="center"/>
                    <w:textAlignment w:val="baseline"/>
                    <w:rPr>
                      <w:color w:val="000000"/>
                      <w:szCs w:val="21"/>
                    </w:rPr>
                  </w:pPr>
                  <w:r>
                    <w:rPr>
                      <w:rFonts w:hint="eastAsia"/>
                      <w:color w:val="000000"/>
                      <w:szCs w:val="21"/>
                    </w:rPr>
                    <w:t>桶装</w:t>
                  </w:r>
                </w:p>
              </w:tc>
              <w:tc>
                <w:tcPr>
                  <w:tcW w:w="628" w:type="pct"/>
                  <w:vMerge w:val="restart"/>
                  <w:vAlign w:val="center"/>
                </w:tcPr>
                <w:p>
                  <w:pPr>
                    <w:widowControl/>
                    <w:tabs>
                      <w:tab w:val="left" w:pos="0"/>
                    </w:tabs>
                    <w:jc w:val="center"/>
                    <w:rPr>
                      <w:color w:val="000000"/>
                      <w:szCs w:val="21"/>
                    </w:rPr>
                  </w:pPr>
                  <w:r>
                    <w:rPr>
                      <w:rFonts w:hint="eastAsia"/>
                      <w:color w:val="000000"/>
                      <w:szCs w:val="21"/>
                    </w:rPr>
                    <w:t>危险化学品仓库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4" w:type="pct"/>
                  <w:vAlign w:val="center"/>
                </w:tcPr>
                <w:p>
                  <w:pPr>
                    <w:widowControl/>
                    <w:tabs>
                      <w:tab w:val="left" w:pos="0"/>
                    </w:tabs>
                    <w:jc w:val="center"/>
                    <w:rPr>
                      <w:color w:val="000000"/>
                      <w:szCs w:val="21"/>
                    </w:rPr>
                  </w:pPr>
                  <w:r>
                    <w:rPr>
                      <w:rFonts w:hint="eastAsia"/>
                      <w:color w:val="000000"/>
                      <w:szCs w:val="21"/>
                    </w:rPr>
                    <w:t>2</w:t>
                  </w:r>
                </w:p>
              </w:tc>
              <w:tc>
                <w:tcPr>
                  <w:tcW w:w="668" w:type="pct"/>
                  <w:vAlign w:val="center"/>
                </w:tcPr>
                <w:p>
                  <w:pPr>
                    <w:pStyle w:val="49"/>
                    <w:spacing w:before="0" w:after="0" w:line="240" w:lineRule="auto"/>
                    <w:ind w:right="0"/>
                    <w:rPr>
                      <w:rFonts w:ascii="Times New Roman" w:hAnsi="Times New Roman" w:eastAsia="宋体"/>
                      <w:color w:val="000000"/>
                      <w:sz w:val="21"/>
                      <w:szCs w:val="21"/>
                    </w:rPr>
                  </w:pPr>
                  <w:r>
                    <w:rPr>
                      <w:rFonts w:hint="eastAsia" w:ascii="Times New Roman" w:hAnsi="Times New Roman" w:eastAsia="宋体"/>
                      <w:color w:val="000000"/>
                      <w:kern w:val="2"/>
                      <w:sz w:val="21"/>
                      <w:szCs w:val="24"/>
                    </w:rPr>
                    <w:t>三防漆清洗剂</w:t>
                  </w:r>
                </w:p>
              </w:tc>
              <w:tc>
                <w:tcPr>
                  <w:tcW w:w="1293" w:type="pct"/>
                  <w:vAlign w:val="center"/>
                </w:tcPr>
                <w:p>
                  <w:pPr>
                    <w:widowControl/>
                    <w:tabs>
                      <w:tab w:val="left" w:pos="0"/>
                    </w:tabs>
                    <w:adjustRightInd w:val="0"/>
                    <w:jc w:val="center"/>
                    <w:textAlignment w:val="baseline"/>
                    <w:rPr>
                      <w:color w:val="000000"/>
                    </w:rPr>
                  </w:pPr>
                  <w:r>
                    <w:rPr>
                      <w:rFonts w:hint="eastAsia"/>
                      <w:bCs/>
                      <w:color w:val="000000"/>
                      <w:szCs w:val="21"/>
                    </w:rPr>
                    <w:t>反式</w:t>
                  </w:r>
                  <w:r>
                    <w:rPr>
                      <w:bCs/>
                      <w:color w:val="000000"/>
                      <w:szCs w:val="21"/>
                    </w:rPr>
                    <w:t>-1,2-</w:t>
                  </w:r>
                  <w:r>
                    <w:rPr>
                      <w:rFonts w:hint="eastAsia"/>
                      <w:bCs/>
                      <w:color w:val="000000"/>
                      <w:szCs w:val="21"/>
                    </w:rPr>
                    <w:t>二氯乙烯＞</w:t>
                  </w:r>
                  <w:r>
                    <w:rPr>
                      <w:bCs/>
                      <w:color w:val="000000"/>
                      <w:szCs w:val="21"/>
                    </w:rPr>
                    <w:t>70%</w:t>
                  </w:r>
                  <w:r>
                    <w:rPr>
                      <w:rFonts w:hint="eastAsia"/>
                      <w:bCs/>
                      <w:color w:val="000000"/>
                      <w:szCs w:val="21"/>
                    </w:rPr>
                    <w:t>、功能活性剂</w:t>
                  </w:r>
                  <w:r>
                    <w:rPr>
                      <w:bCs/>
                      <w:color w:val="000000"/>
                      <w:szCs w:val="21"/>
                    </w:rPr>
                    <w:t>5-30%</w:t>
                  </w:r>
                </w:p>
              </w:tc>
              <w:tc>
                <w:tcPr>
                  <w:tcW w:w="815" w:type="pct"/>
                  <w:vAlign w:val="center"/>
                </w:tcPr>
                <w:p>
                  <w:pPr>
                    <w:adjustRightInd w:val="0"/>
                    <w:snapToGrid w:val="0"/>
                    <w:jc w:val="center"/>
                    <w:rPr>
                      <w:color w:val="000000"/>
                      <w:szCs w:val="21"/>
                    </w:rPr>
                  </w:pPr>
                  <w:r>
                    <w:rPr>
                      <w:rFonts w:hint="eastAsia"/>
                      <w:color w:val="000000"/>
                      <w:szCs w:val="21"/>
                    </w:rPr>
                    <w:t>0.6</w:t>
                  </w:r>
                </w:p>
              </w:tc>
              <w:tc>
                <w:tcPr>
                  <w:tcW w:w="65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0.1</w:t>
                  </w:r>
                </w:p>
              </w:tc>
              <w:tc>
                <w:tcPr>
                  <w:tcW w:w="638" w:type="pct"/>
                  <w:vAlign w:val="center"/>
                </w:tcPr>
                <w:p>
                  <w:pPr>
                    <w:widowControl/>
                    <w:adjustRightInd w:val="0"/>
                    <w:jc w:val="center"/>
                    <w:textAlignment w:val="baseline"/>
                    <w:rPr>
                      <w:color w:val="000000"/>
                      <w:szCs w:val="21"/>
                    </w:rPr>
                  </w:pPr>
                  <w:r>
                    <w:rPr>
                      <w:rFonts w:hint="eastAsia"/>
                      <w:color w:val="000000"/>
                      <w:szCs w:val="21"/>
                    </w:rPr>
                    <w:t>桶装</w:t>
                  </w:r>
                </w:p>
              </w:tc>
              <w:tc>
                <w:tcPr>
                  <w:tcW w:w="628" w:type="pct"/>
                  <w:vMerge w:val="continue"/>
                  <w:vAlign w:val="center"/>
                </w:tcPr>
                <w:p>
                  <w:pPr>
                    <w:widowControl/>
                    <w:tabs>
                      <w:tab w:val="left" w:pos="0"/>
                    </w:tabs>
                    <w:jc w:val="center"/>
                    <w:rPr>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4" w:type="pct"/>
                  <w:vAlign w:val="center"/>
                </w:tcPr>
                <w:p>
                  <w:pPr>
                    <w:widowControl/>
                    <w:tabs>
                      <w:tab w:val="left" w:pos="0"/>
                    </w:tabs>
                    <w:jc w:val="center"/>
                    <w:rPr>
                      <w:color w:val="000000"/>
                      <w:szCs w:val="21"/>
                    </w:rPr>
                  </w:pPr>
                  <w:r>
                    <w:rPr>
                      <w:rFonts w:hint="eastAsia"/>
                      <w:color w:val="000000"/>
                      <w:szCs w:val="21"/>
                    </w:rPr>
                    <w:t>3</w:t>
                  </w:r>
                </w:p>
              </w:tc>
              <w:tc>
                <w:tcPr>
                  <w:tcW w:w="668" w:type="pct"/>
                  <w:vAlign w:val="center"/>
                </w:tcPr>
                <w:p>
                  <w:pPr>
                    <w:pStyle w:val="49"/>
                    <w:spacing w:before="0" w:after="0" w:line="240" w:lineRule="auto"/>
                    <w:ind w:right="0"/>
                    <w:rPr>
                      <w:rFonts w:ascii="Times New Roman" w:hAnsi="Times New Roman" w:eastAsia="宋体"/>
                      <w:color w:val="000000"/>
                      <w:kern w:val="2"/>
                      <w:sz w:val="21"/>
                      <w:szCs w:val="24"/>
                    </w:rPr>
                  </w:pPr>
                  <w:r>
                    <w:rPr>
                      <w:rFonts w:hint="eastAsia" w:ascii="Times New Roman" w:hAnsi="Times New Roman" w:eastAsia="宋体"/>
                      <w:color w:val="000000"/>
                      <w:kern w:val="2"/>
                      <w:sz w:val="21"/>
                      <w:szCs w:val="24"/>
                    </w:rPr>
                    <w:t>三防漆</w:t>
                  </w:r>
                </w:p>
              </w:tc>
              <w:tc>
                <w:tcPr>
                  <w:tcW w:w="1293" w:type="pct"/>
                  <w:vAlign w:val="center"/>
                </w:tcPr>
                <w:p>
                  <w:pPr>
                    <w:widowControl/>
                    <w:tabs>
                      <w:tab w:val="left" w:pos="0"/>
                    </w:tabs>
                    <w:adjustRightInd w:val="0"/>
                    <w:jc w:val="center"/>
                    <w:textAlignment w:val="baseline"/>
                    <w:rPr>
                      <w:bCs/>
                      <w:color w:val="000000"/>
                      <w:szCs w:val="21"/>
                    </w:rPr>
                  </w:pPr>
                  <w:r>
                    <w:rPr>
                      <w:rFonts w:hint="eastAsia"/>
                      <w:color w:val="000000"/>
                      <w:szCs w:val="21"/>
                    </w:rPr>
                    <w:t>石脑油40%、脱芳烃溶剂油60%</w:t>
                  </w:r>
                </w:p>
              </w:tc>
              <w:tc>
                <w:tcPr>
                  <w:tcW w:w="815" w:type="pct"/>
                  <w:vAlign w:val="center"/>
                </w:tcPr>
                <w:p>
                  <w:pPr>
                    <w:adjustRightInd w:val="0"/>
                    <w:snapToGrid w:val="0"/>
                    <w:jc w:val="center"/>
                    <w:rPr>
                      <w:color w:val="000000"/>
                      <w:szCs w:val="21"/>
                    </w:rPr>
                  </w:pPr>
                  <w:r>
                    <w:rPr>
                      <w:rFonts w:hint="eastAsia"/>
                      <w:color w:val="000000"/>
                      <w:szCs w:val="21"/>
                    </w:rPr>
                    <w:t>0.4</w:t>
                  </w:r>
                </w:p>
              </w:tc>
              <w:tc>
                <w:tcPr>
                  <w:tcW w:w="651" w:type="pct"/>
                  <w:vAlign w:val="center"/>
                </w:tcPr>
                <w:p>
                  <w:pPr>
                    <w:pStyle w:val="38"/>
                    <w:spacing w:beforeLines="0" w:after="24" w:line="240" w:lineRule="auto"/>
                    <w:ind w:firstLine="0"/>
                    <w:rPr>
                      <w:rFonts w:ascii="Times New Roman" w:eastAsia="宋体"/>
                      <w:bCs/>
                      <w:color w:val="000000"/>
                      <w:szCs w:val="21"/>
                    </w:rPr>
                  </w:pPr>
                  <w:r>
                    <w:rPr>
                      <w:rFonts w:hint="eastAsia" w:ascii="Times New Roman" w:eastAsia="宋体"/>
                      <w:bCs/>
                      <w:color w:val="000000"/>
                      <w:szCs w:val="21"/>
                    </w:rPr>
                    <w:t>0.01</w:t>
                  </w:r>
                </w:p>
              </w:tc>
              <w:tc>
                <w:tcPr>
                  <w:tcW w:w="638" w:type="pct"/>
                  <w:vAlign w:val="center"/>
                </w:tcPr>
                <w:p>
                  <w:pPr>
                    <w:widowControl/>
                    <w:adjustRightInd w:val="0"/>
                    <w:jc w:val="center"/>
                    <w:textAlignment w:val="baseline"/>
                    <w:rPr>
                      <w:color w:val="000000"/>
                      <w:szCs w:val="21"/>
                    </w:rPr>
                  </w:pPr>
                  <w:r>
                    <w:rPr>
                      <w:rFonts w:hint="eastAsia"/>
                      <w:color w:val="000000"/>
                      <w:szCs w:val="21"/>
                    </w:rPr>
                    <w:t>桶装</w:t>
                  </w:r>
                </w:p>
              </w:tc>
              <w:tc>
                <w:tcPr>
                  <w:tcW w:w="628" w:type="pct"/>
                  <w:vMerge w:val="continue"/>
                  <w:vAlign w:val="center"/>
                </w:tcPr>
                <w:p>
                  <w:pPr>
                    <w:widowControl/>
                    <w:tabs>
                      <w:tab w:val="left" w:pos="0"/>
                    </w:tabs>
                    <w:jc w:val="center"/>
                    <w:rPr>
                      <w:bCs/>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4" w:type="pct"/>
                  <w:vAlign w:val="center"/>
                </w:tcPr>
                <w:p>
                  <w:pPr>
                    <w:widowControl/>
                    <w:tabs>
                      <w:tab w:val="left" w:pos="0"/>
                    </w:tabs>
                    <w:jc w:val="center"/>
                    <w:rPr>
                      <w:color w:val="000000"/>
                      <w:szCs w:val="21"/>
                    </w:rPr>
                  </w:pPr>
                  <w:r>
                    <w:rPr>
                      <w:color w:val="000000"/>
                      <w:szCs w:val="21"/>
                    </w:rPr>
                    <w:t>2</w:t>
                  </w:r>
                </w:p>
              </w:tc>
              <w:tc>
                <w:tcPr>
                  <w:tcW w:w="668" w:type="pct"/>
                  <w:vAlign w:val="center"/>
                </w:tcPr>
                <w:p>
                  <w:pPr>
                    <w:pStyle w:val="38"/>
                    <w:spacing w:beforeLines="0" w:after="24" w:line="240" w:lineRule="auto"/>
                    <w:ind w:firstLine="0"/>
                    <w:rPr>
                      <w:rFonts w:ascii="Times New Roman" w:eastAsia="宋体"/>
                      <w:color w:val="000000"/>
                      <w:spacing w:val="0"/>
                      <w:kern w:val="2"/>
                      <w:szCs w:val="22"/>
                    </w:rPr>
                  </w:pPr>
                  <w:r>
                    <w:rPr>
                      <w:rFonts w:hint="eastAsia" w:ascii="Times New Roman" w:eastAsia="宋体"/>
                      <w:color w:val="000000"/>
                      <w:spacing w:val="0"/>
                      <w:kern w:val="2"/>
                      <w:szCs w:val="22"/>
                    </w:rPr>
                    <w:t>废</w:t>
                  </w:r>
                  <w:r>
                    <w:rPr>
                      <w:rFonts w:hint="eastAsia" w:ascii="Times New Roman" w:eastAsia="宋体"/>
                      <w:color w:val="000000"/>
                      <w:spacing w:val="0"/>
                      <w:kern w:val="2"/>
                      <w:szCs w:val="22"/>
                      <w:lang w:eastAsia="zh-CN"/>
                    </w:rPr>
                    <w:t>网版</w:t>
                  </w:r>
                  <w:r>
                    <w:rPr>
                      <w:rFonts w:hint="eastAsia" w:ascii="Times New Roman" w:eastAsia="宋体"/>
                      <w:color w:val="000000"/>
                      <w:spacing w:val="0"/>
                      <w:kern w:val="2"/>
                      <w:szCs w:val="22"/>
                    </w:rPr>
                    <w:t>清洗剂</w:t>
                  </w:r>
                </w:p>
              </w:tc>
              <w:tc>
                <w:tcPr>
                  <w:tcW w:w="1293" w:type="pct"/>
                  <w:vAlign w:val="center"/>
                </w:tcPr>
                <w:p>
                  <w:pPr>
                    <w:pStyle w:val="38"/>
                    <w:spacing w:beforeLines="0" w:after="24" w:line="240" w:lineRule="auto"/>
                    <w:ind w:firstLine="0"/>
                    <w:rPr>
                      <w:rFonts w:ascii="Times New Roman" w:eastAsia="宋体"/>
                      <w:color w:val="000000"/>
                      <w:spacing w:val="0"/>
                      <w:kern w:val="2"/>
                      <w:szCs w:val="22"/>
                    </w:rPr>
                  </w:pPr>
                  <w:r>
                    <w:rPr>
                      <w:rFonts w:ascii="Times New Roman" w:eastAsia="宋体"/>
                      <w:color w:val="000000"/>
                      <w:kern w:val="2"/>
                      <w:szCs w:val="24"/>
                    </w:rPr>
                    <w:t>95%乙醇</w:t>
                  </w:r>
                </w:p>
              </w:tc>
              <w:tc>
                <w:tcPr>
                  <w:tcW w:w="815" w:type="pct"/>
                  <w:vAlign w:val="center"/>
                </w:tcPr>
                <w:p>
                  <w:pPr>
                    <w:adjustRightInd w:val="0"/>
                    <w:snapToGrid w:val="0"/>
                    <w:jc w:val="center"/>
                    <w:rPr>
                      <w:color w:val="000000"/>
                    </w:rPr>
                  </w:pPr>
                  <w:r>
                    <w:rPr>
                      <w:rFonts w:hint="eastAsia"/>
                      <w:color w:val="000000"/>
                      <w:szCs w:val="21"/>
                    </w:rPr>
                    <w:t>0.172</w:t>
                  </w:r>
                </w:p>
              </w:tc>
              <w:tc>
                <w:tcPr>
                  <w:tcW w:w="651" w:type="pct"/>
                  <w:vAlign w:val="center"/>
                </w:tcPr>
                <w:p>
                  <w:pPr>
                    <w:widowControl/>
                    <w:snapToGrid w:val="0"/>
                    <w:jc w:val="center"/>
                    <w:rPr>
                      <w:color w:val="000000"/>
                    </w:rPr>
                  </w:pPr>
                  <w:r>
                    <w:rPr>
                      <w:rFonts w:hint="eastAsia"/>
                      <w:color w:val="000000"/>
                      <w:szCs w:val="21"/>
                    </w:rPr>
                    <w:t>0.086</w:t>
                  </w:r>
                </w:p>
              </w:tc>
              <w:tc>
                <w:tcPr>
                  <w:tcW w:w="638" w:type="pct"/>
                  <w:vAlign w:val="center"/>
                </w:tcPr>
                <w:p>
                  <w:pPr>
                    <w:widowControl/>
                    <w:tabs>
                      <w:tab w:val="left" w:pos="0"/>
                    </w:tabs>
                    <w:adjustRightInd w:val="0"/>
                    <w:jc w:val="center"/>
                    <w:textAlignment w:val="baseline"/>
                    <w:rPr>
                      <w:color w:val="000000"/>
                      <w:szCs w:val="21"/>
                    </w:rPr>
                  </w:pPr>
                  <w:r>
                    <w:rPr>
                      <w:rFonts w:hint="eastAsia"/>
                      <w:color w:val="000000"/>
                      <w:szCs w:val="21"/>
                    </w:rPr>
                    <w:t>桶装</w:t>
                  </w:r>
                </w:p>
              </w:tc>
              <w:tc>
                <w:tcPr>
                  <w:tcW w:w="628" w:type="pct"/>
                  <w:vAlign w:val="center"/>
                </w:tcPr>
                <w:p>
                  <w:pPr>
                    <w:widowControl/>
                    <w:tabs>
                      <w:tab w:val="left" w:pos="0"/>
                    </w:tabs>
                    <w:adjustRightInd w:val="0"/>
                    <w:jc w:val="center"/>
                    <w:textAlignment w:val="baseline"/>
                    <w:rPr>
                      <w:color w:val="000000"/>
                      <w:szCs w:val="21"/>
                    </w:rPr>
                  </w:pPr>
                  <w:r>
                    <w:rPr>
                      <w:rFonts w:hint="eastAsia"/>
                      <w:bCs/>
                      <w:color w:val="000000"/>
                      <w:szCs w:val="21"/>
                    </w:rPr>
                    <w:t>危险品仓库</w:t>
                  </w:r>
                </w:p>
              </w:tc>
            </w:tr>
          </w:tbl>
          <w:p>
            <w:pPr>
              <w:tabs>
                <w:tab w:val="left" w:pos="0"/>
              </w:tabs>
              <w:spacing w:line="360" w:lineRule="auto"/>
              <w:ind w:firstLine="480" w:firstLineChars="200"/>
              <w:rPr>
                <w:color w:val="000000"/>
                <w:sz w:val="24"/>
              </w:rPr>
            </w:pPr>
            <w:r>
              <w:rPr>
                <w:color w:val="000000"/>
                <w:sz w:val="24"/>
              </w:rPr>
              <w:t>②风险潜势初判</w:t>
            </w:r>
          </w:p>
          <w:p>
            <w:pPr>
              <w:tabs>
                <w:tab w:val="left" w:pos="0"/>
              </w:tabs>
              <w:spacing w:line="360" w:lineRule="auto"/>
              <w:ind w:firstLine="480" w:firstLineChars="200"/>
              <w:jc w:val="left"/>
              <w:rPr>
                <w:color w:val="000000"/>
                <w:sz w:val="24"/>
              </w:rPr>
            </w:pPr>
            <w:r>
              <w:rPr>
                <w:color w:val="000000"/>
                <w:sz w:val="24"/>
              </w:rPr>
              <w:t>分析建设项目生产、使用、储存过程中涉及的有毒有害、易燃易爆物质，根据危险物质的临界量，定量分析危险物质数量与临界量的比值（Q）和所属行业及生产工艺特点（M），对危险物质及工艺系统危险性（P）等级进行判断。</w:t>
            </w:r>
          </w:p>
          <w:p>
            <w:pPr>
              <w:tabs>
                <w:tab w:val="left" w:pos="0"/>
              </w:tabs>
              <w:spacing w:line="360" w:lineRule="auto"/>
              <w:ind w:firstLine="480" w:firstLineChars="200"/>
              <w:jc w:val="left"/>
              <w:rPr>
                <w:color w:val="000000"/>
                <w:sz w:val="24"/>
              </w:rPr>
            </w:pPr>
            <w:r>
              <w:rPr>
                <w:color w:val="000000"/>
                <w:sz w:val="24"/>
              </w:rPr>
              <w:t>当只涉及一种危险物质时，计算该物质的总量与其临界量比值，即为</w:t>
            </w:r>
            <w:r>
              <w:rPr>
                <w:i/>
                <w:iCs/>
                <w:color w:val="000000"/>
                <w:sz w:val="24"/>
              </w:rPr>
              <w:t>Q</w:t>
            </w:r>
            <w:r>
              <w:rPr>
                <w:color w:val="000000"/>
                <w:sz w:val="24"/>
              </w:rPr>
              <w:t>； 当存在多种危险物质时，则按下列公示计算物质总量与其临界量比（</w:t>
            </w:r>
            <w:r>
              <w:rPr>
                <w:i/>
                <w:iCs/>
                <w:color w:val="000000"/>
                <w:sz w:val="24"/>
              </w:rPr>
              <w:t>Q</w:t>
            </w:r>
            <w:r>
              <w:rPr>
                <w:color w:val="000000"/>
                <w:sz w:val="24"/>
              </w:rPr>
              <w:t>）：</w:t>
            </w:r>
          </w:p>
          <w:p>
            <w:pPr>
              <w:tabs>
                <w:tab w:val="left" w:pos="0"/>
              </w:tabs>
              <w:spacing w:line="360" w:lineRule="auto"/>
              <w:jc w:val="center"/>
              <w:rPr>
                <w:color w:val="000000"/>
                <w:sz w:val="28"/>
                <w:szCs w:val="28"/>
              </w:rPr>
            </w:pPr>
            <w:r>
              <w:rPr>
                <w:color w:val="000000"/>
                <w:sz w:val="28"/>
                <w:szCs w:val="28"/>
              </w:rPr>
              <w:drawing>
                <wp:inline distT="0" distB="0" distL="114300" distR="114300">
                  <wp:extent cx="1231900" cy="430530"/>
                  <wp:effectExtent l="0" t="0" r="0" b="1270"/>
                  <wp:docPr id="12" name="图片 73"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3" descr="wps1"/>
                          <pic:cNvPicPr>
                            <a:picLocks noChangeAspect="1"/>
                          </pic:cNvPicPr>
                        </pic:nvPicPr>
                        <pic:blipFill>
                          <a:blip r:embed="rId18"/>
                          <a:stretch>
                            <a:fillRect/>
                          </a:stretch>
                        </pic:blipFill>
                        <pic:spPr>
                          <a:xfrm>
                            <a:off x="0" y="0"/>
                            <a:ext cx="1231900" cy="430530"/>
                          </a:xfrm>
                          <a:prstGeom prst="rect">
                            <a:avLst/>
                          </a:prstGeom>
                          <a:noFill/>
                          <a:ln>
                            <a:noFill/>
                          </a:ln>
                        </pic:spPr>
                      </pic:pic>
                    </a:graphicData>
                  </a:graphic>
                </wp:inline>
              </w:drawing>
            </w:r>
          </w:p>
          <w:p>
            <w:pPr>
              <w:tabs>
                <w:tab w:val="left" w:pos="0"/>
              </w:tabs>
              <w:spacing w:line="360" w:lineRule="auto"/>
              <w:ind w:firstLine="480" w:firstLineChars="200"/>
              <w:jc w:val="left"/>
              <w:rPr>
                <w:color w:val="000000"/>
                <w:sz w:val="24"/>
              </w:rPr>
            </w:pPr>
            <w:r>
              <w:rPr>
                <w:color w:val="000000"/>
                <w:sz w:val="24"/>
              </w:rPr>
              <w:t>式中：</w:t>
            </w:r>
            <w:r>
              <w:rPr>
                <w:i/>
                <w:iCs/>
                <w:color w:val="000000"/>
                <w:sz w:val="24"/>
              </w:rPr>
              <w:t>q</w:t>
            </w:r>
            <w:r>
              <w:rPr>
                <w:color w:val="000000"/>
                <w:sz w:val="24"/>
                <w:vertAlign w:val="subscript"/>
              </w:rPr>
              <w:t>1</w:t>
            </w:r>
            <w:r>
              <w:rPr>
                <w:color w:val="000000"/>
                <w:sz w:val="24"/>
              </w:rPr>
              <w:t>，</w:t>
            </w:r>
            <w:r>
              <w:rPr>
                <w:i/>
                <w:iCs/>
                <w:color w:val="000000"/>
                <w:sz w:val="24"/>
              </w:rPr>
              <w:t>q</w:t>
            </w:r>
            <w:r>
              <w:rPr>
                <w:color w:val="000000"/>
                <w:sz w:val="24"/>
                <w:vertAlign w:val="subscript"/>
              </w:rPr>
              <w:t>2</w:t>
            </w:r>
            <w:r>
              <w:rPr>
                <w:color w:val="000000"/>
                <w:sz w:val="24"/>
              </w:rPr>
              <w:t>，...，</w:t>
            </w:r>
            <w:r>
              <w:rPr>
                <w:i/>
                <w:iCs/>
                <w:color w:val="000000"/>
                <w:sz w:val="24"/>
              </w:rPr>
              <w:t>q</w:t>
            </w:r>
            <w:r>
              <w:rPr>
                <w:i/>
                <w:iCs/>
                <w:color w:val="000000"/>
                <w:sz w:val="24"/>
                <w:vertAlign w:val="subscript"/>
              </w:rPr>
              <w:t>n</w:t>
            </w:r>
            <w:r>
              <w:rPr>
                <w:color w:val="000000"/>
                <w:sz w:val="24"/>
              </w:rPr>
              <w:t>——每种危险物质的最大存在总量，t；</w:t>
            </w:r>
            <w:r>
              <w:rPr>
                <w:i/>
                <w:iCs/>
                <w:color w:val="000000"/>
                <w:sz w:val="24"/>
              </w:rPr>
              <w:t>Q</w:t>
            </w:r>
            <w:r>
              <w:rPr>
                <w:color w:val="000000"/>
                <w:sz w:val="24"/>
                <w:vertAlign w:val="subscript"/>
              </w:rPr>
              <w:t>1</w:t>
            </w:r>
            <w:r>
              <w:rPr>
                <w:color w:val="000000"/>
                <w:sz w:val="24"/>
              </w:rPr>
              <w:t>，</w:t>
            </w:r>
            <w:r>
              <w:rPr>
                <w:i/>
                <w:iCs/>
                <w:color w:val="000000"/>
                <w:sz w:val="24"/>
              </w:rPr>
              <w:t>Q</w:t>
            </w:r>
            <w:r>
              <w:rPr>
                <w:color w:val="000000"/>
                <w:sz w:val="24"/>
                <w:vertAlign w:val="subscript"/>
              </w:rPr>
              <w:t>2</w:t>
            </w:r>
            <w:r>
              <w:rPr>
                <w:color w:val="000000"/>
                <w:sz w:val="24"/>
              </w:rPr>
              <w:t>，...，</w:t>
            </w:r>
            <w:r>
              <w:rPr>
                <w:i/>
                <w:iCs/>
                <w:color w:val="000000"/>
                <w:sz w:val="24"/>
              </w:rPr>
              <w:t>Q</w:t>
            </w:r>
            <w:r>
              <w:rPr>
                <w:i/>
                <w:iCs/>
                <w:color w:val="000000"/>
                <w:sz w:val="24"/>
                <w:vertAlign w:val="subscript"/>
              </w:rPr>
              <w:t>n</w:t>
            </w:r>
            <w:r>
              <w:rPr>
                <w:color w:val="000000"/>
                <w:sz w:val="24"/>
              </w:rPr>
              <w:t>——每种危险物质的临界量，t。</w:t>
            </w:r>
          </w:p>
          <w:p>
            <w:pPr>
              <w:tabs>
                <w:tab w:val="left" w:pos="0"/>
              </w:tabs>
              <w:spacing w:line="360" w:lineRule="auto"/>
              <w:ind w:firstLine="480" w:firstLineChars="200"/>
              <w:jc w:val="left"/>
              <w:rPr>
                <w:color w:val="000000"/>
                <w:sz w:val="24"/>
              </w:rPr>
            </w:pPr>
            <w:r>
              <w:rPr>
                <w:color w:val="000000"/>
                <w:sz w:val="24"/>
              </w:rPr>
              <w:t>当</w:t>
            </w:r>
            <w:r>
              <w:rPr>
                <w:i/>
                <w:iCs/>
                <w:color w:val="000000"/>
                <w:sz w:val="24"/>
              </w:rPr>
              <w:t>Q</w:t>
            </w:r>
            <w:r>
              <w:rPr>
                <w:color w:val="000000"/>
                <w:sz w:val="24"/>
              </w:rPr>
              <w:t>＜1时，该项目环境风险潜势为Ⅰ。当</w:t>
            </w:r>
            <w:r>
              <w:rPr>
                <w:i/>
                <w:iCs/>
                <w:color w:val="000000"/>
                <w:sz w:val="24"/>
              </w:rPr>
              <w:t>Q</w:t>
            </w:r>
            <w:r>
              <w:rPr>
                <w:color w:val="000000"/>
                <w:sz w:val="24"/>
              </w:rPr>
              <w:t>≥1时，将</w:t>
            </w:r>
            <w:r>
              <w:rPr>
                <w:i/>
                <w:iCs/>
                <w:color w:val="000000"/>
                <w:sz w:val="24"/>
              </w:rPr>
              <w:t>Q</w:t>
            </w:r>
            <w:r>
              <w:rPr>
                <w:color w:val="000000"/>
                <w:sz w:val="24"/>
              </w:rPr>
              <w:t>值划分为：（1）1≤</w:t>
            </w:r>
            <w:r>
              <w:rPr>
                <w:i/>
                <w:iCs/>
                <w:color w:val="000000"/>
                <w:sz w:val="24"/>
              </w:rPr>
              <w:t>Q</w:t>
            </w:r>
            <w:r>
              <w:rPr>
                <w:color w:val="000000"/>
                <w:sz w:val="24"/>
              </w:rPr>
              <w:t>＜10；（2）10≤</w:t>
            </w:r>
            <w:r>
              <w:rPr>
                <w:i/>
                <w:iCs/>
                <w:color w:val="000000"/>
                <w:sz w:val="24"/>
              </w:rPr>
              <w:t>Q</w:t>
            </w:r>
            <w:r>
              <w:rPr>
                <w:color w:val="000000"/>
                <w:sz w:val="24"/>
              </w:rPr>
              <w:t>＜100；（3）</w:t>
            </w:r>
            <w:r>
              <w:rPr>
                <w:i/>
                <w:iCs/>
                <w:color w:val="000000"/>
                <w:sz w:val="24"/>
              </w:rPr>
              <w:t>Q</w:t>
            </w:r>
            <w:r>
              <w:rPr>
                <w:color w:val="000000"/>
                <w:sz w:val="24"/>
              </w:rPr>
              <w:t>≥100。</w:t>
            </w:r>
          </w:p>
          <w:p>
            <w:pPr>
              <w:tabs>
                <w:tab w:val="left" w:pos="0"/>
              </w:tabs>
              <w:spacing w:line="360" w:lineRule="auto"/>
              <w:ind w:firstLine="480" w:firstLineChars="200"/>
              <w:jc w:val="left"/>
              <w:rPr>
                <w:color w:val="000000"/>
                <w:sz w:val="24"/>
              </w:rPr>
            </w:pPr>
            <w:r>
              <w:rPr>
                <w:color w:val="000000"/>
                <w:sz w:val="24"/>
              </w:rPr>
              <w:t>根据《建设项目环境风险评价技术导则》（HJ169-2018）附录B表B.1以及表B.2的危险物质临界量，本项目危险物质总量与其临界量比值Q计算结果见下表：</w:t>
            </w:r>
          </w:p>
          <w:p>
            <w:pPr>
              <w:snapToGrid w:val="0"/>
              <w:spacing w:before="60"/>
              <w:jc w:val="center"/>
              <w:rPr>
                <w:b/>
                <w:color w:val="000000"/>
                <w:sz w:val="24"/>
              </w:rPr>
            </w:pPr>
            <w:r>
              <w:rPr>
                <w:b/>
                <w:color w:val="000000"/>
                <w:sz w:val="24"/>
              </w:rPr>
              <w:t>表4-31  本项目Q值确定表</w:t>
            </w:r>
          </w:p>
          <w:tbl>
            <w:tblPr>
              <w:tblStyle w:val="2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35"/>
              <w:gridCol w:w="1741"/>
              <w:gridCol w:w="2148"/>
              <w:gridCol w:w="1306"/>
              <w:gridCol w:w="1373"/>
              <w:gridCol w:w="17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jc w:val="center"/>
              </w:trPr>
              <w:tc>
                <w:tcPr>
                  <w:tcW w:w="405" w:type="pct"/>
                  <w:vAlign w:val="center"/>
                </w:tcPr>
                <w:p>
                  <w:pPr>
                    <w:widowControl/>
                    <w:tabs>
                      <w:tab w:val="left" w:pos="0"/>
                    </w:tabs>
                    <w:jc w:val="center"/>
                    <w:rPr>
                      <w:b/>
                      <w:color w:val="000000"/>
                      <w:szCs w:val="21"/>
                    </w:rPr>
                  </w:pPr>
                  <w:r>
                    <w:rPr>
                      <w:b/>
                      <w:color w:val="000000"/>
                      <w:szCs w:val="21"/>
                    </w:rPr>
                    <w:t>编号</w:t>
                  </w:r>
                </w:p>
              </w:tc>
              <w:tc>
                <w:tcPr>
                  <w:tcW w:w="960" w:type="pct"/>
                  <w:vAlign w:val="center"/>
                </w:tcPr>
                <w:p>
                  <w:pPr>
                    <w:widowControl/>
                    <w:tabs>
                      <w:tab w:val="left" w:pos="0"/>
                    </w:tabs>
                    <w:jc w:val="center"/>
                    <w:rPr>
                      <w:b/>
                      <w:color w:val="000000"/>
                      <w:szCs w:val="21"/>
                    </w:rPr>
                  </w:pPr>
                  <w:r>
                    <w:rPr>
                      <w:b/>
                      <w:color w:val="000000"/>
                      <w:szCs w:val="21"/>
                    </w:rPr>
                    <w:t>危险物质名称</w:t>
                  </w:r>
                </w:p>
              </w:tc>
              <w:tc>
                <w:tcPr>
                  <w:tcW w:w="1184" w:type="pct"/>
                  <w:vAlign w:val="center"/>
                </w:tcPr>
                <w:p>
                  <w:pPr>
                    <w:widowControl/>
                    <w:tabs>
                      <w:tab w:val="left" w:pos="0"/>
                    </w:tabs>
                    <w:jc w:val="center"/>
                    <w:rPr>
                      <w:b/>
                      <w:color w:val="000000"/>
                      <w:szCs w:val="21"/>
                    </w:rPr>
                  </w:pPr>
                  <w:r>
                    <w:rPr>
                      <w:b/>
                      <w:color w:val="000000"/>
                      <w:szCs w:val="21"/>
                    </w:rPr>
                    <w:t>CAS 号</w:t>
                  </w:r>
                </w:p>
              </w:tc>
              <w:tc>
                <w:tcPr>
                  <w:tcW w:w="720" w:type="pct"/>
                  <w:vAlign w:val="center"/>
                </w:tcPr>
                <w:p>
                  <w:pPr>
                    <w:widowControl/>
                    <w:tabs>
                      <w:tab w:val="left" w:pos="0"/>
                    </w:tabs>
                    <w:jc w:val="center"/>
                    <w:rPr>
                      <w:b/>
                      <w:color w:val="000000"/>
                      <w:szCs w:val="21"/>
                    </w:rPr>
                  </w:pPr>
                  <w:r>
                    <w:rPr>
                      <w:b/>
                      <w:color w:val="000000"/>
                      <w:szCs w:val="21"/>
                    </w:rPr>
                    <w:t>最大存量</w:t>
                  </w:r>
                  <w:r>
                    <w:rPr>
                      <w:b/>
                      <w:i/>
                      <w:iCs/>
                      <w:color w:val="000000"/>
                      <w:szCs w:val="21"/>
                    </w:rPr>
                    <w:t>q</w:t>
                  </w:r>
                  <w:r>
                    <w:rPr>
                      <w:b/>
                      <w:i/>
                      <w:iCs/>
                      <w:color w:val="000000"/>
                      <w:szCs w:val="21"/>
                      <w:vertAlign w:val="subscript"/>
                    </w:rPr>
                    <w:t xml:space="preserve">n </w:t>
                  </w:r>
                  <w:r>
                    <w:rPr>
                      <w:b/>
                      <w:color w:val="000000"/>
                      <w:szCs w:val="21"/>
                    </w:rPr>
                    <w:t>/t</w:t>
                  </w:r>
                </w:p>
              </w:tc>
              <w:tc>
                <w:tcPr>
                  <w:tcW w:w="757" w:type="pct"/>
                  <w:vAlign w:val="center"/>
                </w:tcPr>
                <w:p>
                  <w:pPr>
                    <w:widowControl/>
                    <w:tabs>
                      <w:tab w:val="left" w:pos="0"/>
                    </w:tabs>
                    <w:jc w:val="center"/>
                    <w:rPr>
                      <w:b/>
                      <w:color w:val="000000"/>
                      <w:szCs w:val="21"/>
                    </w:rPr>
                  </w:pPr>
                  <w:r>
                    <w:rPr>
                      <w:b/>
                      <w:color w:val="000000"/>
                      <w:szCs w:val="21"/>
                    </w:rPr>
                    <w:t>临界量</w:t>
                  </w:r>
                  <w:r>
                    <w:rPr>
                      <w:b/>
                      <w:i/>
                      <w:iCs/>
                      <w:color w:val="000000"/>
                      <w:szCs w:val="21"/>
                    </w:rPr>
                    <w:t>Q</w:t>
                  </w:r>
                  <w:r>
                    <w:rPr>
                      <w:b/>
                      <w:i/>
                      <w:iCs/>
                      <w:color w:val="000000"/>
                      <w:szCs w:val="21"/>
                      <w:vertAlign w:val="subscript"/>
                    </w:rPr>
                    <w:t>n</w:t>
                  </w:r>
                  <w:r>
                    <w:rPr>
                      <w:b/>
                      <w:i/>
                      <w:iCs/>
                      <w:color w:val="000000"/>
                      <w:szCs w:val="21"/>
                    </w:rPr>
                    <w:t>/</w:t>
                  </w:r>
                  <w:r>
                    <w:rPr>
                      <w:b/>
                      <w:color w:val="000000"/>
                      <w:szCs w:val="21"/>
                    </w:rPr>
                    <w:t>t</w:t>
                  </w:r>
                </w:p>
              </w:tc>
              <w:tc>
                <w:tcPr>
                  <w:tcW w:w="971" w:type="pct"/>
                  <w:vAlign w:val="center"/>
                </w:tcPr>
                <w:p>
                  <w:pPr>
                    <w:widowControl/>
                    <w:tabs>
                      <w:tab w:val="left" w:pos="0"/>
                    </w:tabs>
                    <w:jc w:val="center"/>
                    <w:rPr>
                      <w:b/>
                      <w:color w:val="000000"/>
                      <w:szCs w:val="21"/>
                    </w:rPr>
                  </w:pPr>
                  <w:r>
                    <w:rPr>
                      <w:b/>
                      <w:color w:val="000000"/>
                      <w:szCs w:val="21"/>
                    </w:rPr>
                    <w:t>危险物质</w:t>
                  </w:r>
                  <w:r>
                    <w:rPr>
                      <w:b/>
                      <w:i/>
                      <w:iCs/>
                      <w:color w:val="000000"/>
                      <w:szCs w:val="21"/>
                    </w:rPr>
                    <w:t>Q</w:t>
                  </w:r>
                  <w:r>
                    <w:rPr>
                      <w:b/>
                      <w:color w:val="000000"/>
                      <w:szCs w:val="21"/>
                    </w:rPr>
                    <w:t>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05" w:type="pct"/>
                  <w:vAlign w:val="center"/>
                </w:tcPr>
                <w:p>
                  <w:pPr>
                    <w:widowControl/>
                    <w:tabs>
                      <w:tab w:val="left" w:pos="0"/>
                    </w:tabs>
                    <w:jc w:val="center"/>
                    <w:rPr>
                      <w:color w:val="000000"/>
                      <w:szCs w:val="21"/>
                    </w:rPr>
                  </w:pPr>
                  <w:r>
                    <w:rPr>
                      <w:color w:val="000000"/>
                      <w:szCs w:val="21"/>
                    </w:rPr>
                    <w:t>1</w:t>
                  </w:r>
                </w:p>
              </w:tc>
              <w:tc>
                <w:tcPr>
                  <w:tcW w:w="960" w:type="pct"/>
                  <w:vAlign w:val="center"/>
                </w:tcPr>
                <w:p>
                  <w:pPr>
                    <w:pStyle w:val="49"/>
                    <w:spacing w:before="0" w:after="0" w:line="240" w:lineRule="auto"/>
                    <w:ind w:right="0"/>
                    <w:rPr>
                      <w:rFonts w:ascii="Times New Roman" w:hAnsi="Times New Roman" w:eastAsia="宋体"/>
                      <w:color w:val="000000"/>
                      <w:spacing w:val="4"/>
                      <w:kern w:val="2"/>
                      <w:sz w:val="21"/>
                      <w:szCs w:val="21"/>
                    </w:rPr>
                  </w:pPr>
                  <w:r>
                    <w:rPr>
                      <w:rFonts w:hint="eastAsia" w:ascii="Times New Roman" w:hAnsi="Times New Roman" w:eastAsia="宋体"/>
                      <w:color w:val="000000"/>
                      <w:sz w:val="21"/>
                      <w:szCs w:val="21"/>
                    </w:rPr>
                    <w:t>清洗剂</w:t>
                  </w:r>
                </w:p>
              </w:tc>
              <w:tc>
                <w:tcPr>
                  <w:tcW w:w="1184" w:type="pct"/>
                  <w:vMerge w:val="restart"/>
                  <w:vAlign w:val="center"/>
                </w:tcPr>
                <w:p>
                  <w:pPr>
                    <w:widowControl/>
                    <w:tabs>
                      <w:tab w:val="left" w:pos="0"/>
                    </w:tabs>
                    <w:jc w:val="center"/>
                    <w:rPr>
                      <w:color w:val="000000"/>
                      <w:szCs w:val="21"/>
                    </w:rPr>
                  </w:pPr>
                  <w:r>
                    <w:rPr>
                      <w:rFonts w:hint="eastAsia"/>
                    </w:rPr>
                    <w:t>64-17-5</w:t>
                  </w:r>
                </w:p>
              </w:tc>
              <w:tc>
                <w:tcPr>
                  <w:tcW w:w="720" w:type="pct"/>
                  <w:vAlign w:val="center"/>
                </w:tcPr>
                <w:p>
                  <w:pPr>
                    <w:widowControl/>
                    <w:snapToGrid w:val="0"/>
                    <w:jc w:val="center"/>
                    <w:rPr>
                      <w:color w:val="000000"/>
                      <w:szCs w:val="22"/>
                    </w:rPr>
                  </w:pPr>
                  <w:r>
                    <w:rPr>
                      <w:color w:val="000000"/>
                      <w:szCs w:val="21"/>
                    </w:rPr>
                    <w:t>0.1</w:t>
                  </w:r>
                </w:p>
              </w:tc>
              <w:tc>
                <w:tcPr>
                  <w:tcW w:w="757" w:type="pct"/>
                  <w:vAlign w:val="center"/>
                </w:tcPr>
                <w:p>
                  <w:pPr>
                    <w:widowControl/>
                    <w:tabs>
                      <w:tab w:val="left" w:pos="0"/>
                    </w:tabs>
                    <w:jc w:val="center"/>
                    <w:rPr>
                      <w:color w:val="000000"/>
                      <w:szCs w:val="21"/>
                    </w:rPr>
                  </w:pPr>
                  <w:r>
                    <w:rPr>
                      <w:rFonts w:hint="eastAsia"/>
                      <w:color w:val="000000"/>
                      <w:szCs w:val="21"/>
                    </w:rPr>
                    <w:t>500</w:t>
                  </w:r>
                </w:p>
              </w:tc>
              <w:tc>
                <w:tcPr>
                  <w:tcW w:w="971" w:type="pct"/>
                  <w:vAlign w:val="center"/>
                </w:tcPr>
                <w:p>
                  <w:pPr>
                    <w:widowControl/>
                    <w:tabs>
                      <w:tab w:val="left" w:pos="0"/>
                    </w:tabs>
                    <w:jc w:val="center"/>
                    <w:rPr>
                      <w:color w:val="000000"/>
                      <w:szCs w:val="21"/>
                    </w:rPr>
                  </w:pPr>
                  <w:r>
                    <w:rPr>
                      <w:color w:val="000000"/>
                      <w:szCs w:val="21"/>
                    </w:rP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05" w:type="pct"/>
                  <w:vAlign w:val="center"/>
                </w:tcPr>
                <w:p>
                  <w:pPr>
                    <w:widowControl/>
                    <w:tabs>
                      <w:tab w:val="left" w:pos="0"/>
                    </w:tabs>
                    <w:jc w:val="center"/>
                    <w:rPr>
                      <w:color w:val="000000"/>
                      <w:szCs w:val="21"/>
                    </w:rPr>
                  </w:pPr>
                  <w:r>
                    <w:rPr>
                      <w:color w:val="000000"/>
                      <w:szCs w:val="21"/>
                    </w:rPr>
                    <w:t>2</w:t>
                  </w:r>
                </w:p>
              </w:tc>
              <w:tc>
                <w:tcPr>
                  <w:tcW w:w="960" w:type="pct"/>
                  <w:vAlign w:val="center"/>
                </w:tcPr>
                <w:p>
                  <w:pPr>
                    <w:pStyle w:val="49"/>
                    <w:spacing w:before="0" w:after="0" w:line="240" w:lineRule="auto"/>
                    <w:ind w:right="0"/>
                    <w:rPr>
                      <w:rFonts w:ascii="Times New Roman" w:hAnsi="Times New Roman" w:eastAsia="宋体"/>
                      <w:color w:val="000000"/>
                      <w:spacing w:val="4"/>
                      <w:kern w:val="2"/>
                      <w:sz w:val="21"/>
                      <w:szCs w:val="21"/>
                    </w:rPr>
                  </w:pPr>
                  <w:r>
                    <w:rPr>
                      <w:rFonts w:hint="eastAsia" w:ascii="Times New Roman" w:hAnsi="Times New Roman" w:eastAsia="宋体"/>
                      <w:color w:val="000000"/>
                      <w:spacing w:val="4"/>
                      <w:kern w:val="2"/>
                      <w:sz w:val="21"/>
                      <w:szCs w:val="21"/>
                    </w:rPr>
                    <w:t>废</w:t>
                  </w:r>
                  <w:r>
                    <w:rPr>
                      <w:rFonts w:hint="eastAsia" w:ascii="Times New Roman" w:hAnsi="Times New Roman" w:eastAsia="宋体"/>
                      <w:color w:val="000000"/>
                      <w:spacing w:val="4"/>
                      <w:kern w:val="2"/>
                      <w:sz w:val="21"/>
                      <w:szCs w:val="21"/>
                      <w:lang w:eastAsia="zh-CN"/>
                    </w:rPr>
                    <w:t>网版</w:t>
                  </w:r>
                  <w:r>
                    <w:rPr>
                      <w:rFonts w:hint="eastAsia" w:ascii="Times New Roman" w:hAnsi="Times New Roman" w:eastAsia="宋体"/>
                      <w:color w:val="000000"/>
                      <w:spacing w:val="4"/>
                      <w:kern w:val="2"/>
                      <w:sz w:val="21"/>
                      <w:szCs w:val="21"/>
                    </w:rPr>
                    <w:t>清洗剂</w:t>
                  </w:r>
                </w:p>
              </w:tc>
              <w:tc>
                <w:tcPr>
                  <w:tcW w:w="1184" w:type="pct"/>
                  <w:vMerge w:val="continue"/>
                  <w:vAlign w:val="center"/>
                </w:tcPr>
                <w:p>
                  <w:pPr>
                    <w:widowControl/>
                    <w:tabs>
                      <w:tab w:val="left" w:pos="0"/>
                    </w:tabs>
                    <w:jc w:val="center"/>
                    <w:rPr>
                      <w:color w:val="000000"/>
                      <w:szCs w:val="21"/>
                    </w:rPr>
                  </w:pPr>
                </w:p>
              </w:tc>
              <w:tc>
                <w:tcPr>
                  <w:tcW w:w="720" w:type="pct"/>
                  <w:vAlign w:val="center"/>
                </w:tcPr>
                <w:p>
                  <w:pPr>
                    <w:widowControl/>
                    <w:snapToGrid w:val="0"/>
                    <w:jc w:val="center"/>
                    <w:rPr>
                      <w:color w:val="000000"/>
                    </w:rPr>
                  </w:pPr>
                  <w:r>
                    <w:rPr>
                      <w:color w:val="000000"/>
                      <w:szCs w:val="21"/>
                    </w:rPr>
                    <w:t>0.06</w:t>
                  </w:r>
                </w:p>
              </w:tc>
              <w:tc>
                <w:tcPr>
                  <w:tcW w:w="757" w:type="pct"/>
                  <w:vAlign w:val="center"/>
                </w:tcPr>
                <w:p>
                  <w:pPr>
                    <w:widowControl/>
                    <w:tabs>
                      <w:tab w:val="left" w:pos="0"/>
                    </w:tabs>
                    <w:jc w:val="center"/>
                    <w:rPr>
                      <w:color w:val="000000"/>
                      <w:szCs w:val="21"/>
                    </w:rPr>
                  </w:pPr>
                  <w:r>
                    <w:rPr>
                      <w:rFonts w:hint="eastAsia"/>
                      <w:color w:val="000000"/>
                      <w:szCs w:val="21"/>
                    </w:rPr>
                    <w:t>500</w:t>
                  </w:r>
                </w:p>
              </w:tc>
              <w:tc>
                <w:tcPr>
                  <w:tcW w:w="971" w:type="pct"/>
                  <w:vAlign w:val="center"/>
                </w:tcPr>
                <w:p>
                  <w:pPr>
                    <w:widowControl/>
                    <w:tabs>
                      <w:tab w:val="left" w:pos="0"/>
                    </w:tabs>
                    <w:jc w:val="center"/>
                    <w:rPr>
                      <w:color w:val="000000"/>
                      <w:szCs w:val="21"/>
                    </w:rPr>
                  </w:pPr>
                  <w:r>
                    <w:rPr>
                      <w:color w:val="000000"/>
                      <w:szCs w:val="21"/>
                    </w:rPr>
                    <w:t>0.0006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05" w:type="pct"/>
                  <w:vAlign w:val="center"/>
                </w:tcPr>
                <w:p>
                  <w:pPr>
                    <w:widowControl/>
                    <w:tabs>
                      <w:tab w:val="left" w:pos="0"/>
                    </w:tabs>
                    <w:jc w:val="center"/>
                    <w:rPr>
                      <w:color w:val="000000"/>
                      <w:szCs w:val="21"/>
                    </w:rPr>
                  </w:pPr>
                  <w:r>
                    <w:rPr>
                      <w:rFonts w:hint="eastAsia"/>
                      <w:color w:val="000000"/>
                      <w:szCs w:val="21"/>
                    </w:rPr>
                    <w:t>3</w:t>
                  </w:r>
                </w:p>
              </w:tc>
              <w:tc>
                <w:tcPr>
                  <w:tcW w:w="960" w:type="pct"/>
                  <w:vAlign w:val="center"/>
                </w:tcPr>
                <w:p>
                  <w:pPr>
                    <w:pStyle w:val="49"/>
                    <w:spacing w:before="0" w:after="0" w:line="240" w:lineRule="auto"/>
                    <w:ind w:right="0"/>
                    <w:rPr>
                      <w:rFonts w:ascii="Times New Roman" w:hAnsi="Times New Roman" w:eastAsia="宋体"/>
                      <w:color w:val="000000"/>
                      <w:spacing w:val="4"/>
                      <w:kern w:val="2"/>
                      <w:sz w:val="21"/>
                      <w:szCs w:val="21"/>
                    </w:rPr>
                  </w:pPr>
                  <w:r>
                    <w:rPr>
                      <w:rFonts w:hint="eastAsia" w:ascii="Times New Roman" w:hAnsi="Times New Roman" w:eastAsia="宋体"/>
                      <w:color w:val="000000"/>
                      <w:spacing w:val="4"/>
                      <w:kern w:val="2"/>
                      <w:sz w:val="21"/>
                      <w:szCs w:val="21"/>
                    </w:rPr>
                    <w:t>三防漆清洗剂</w:t>
                  </w:r>
                </w:p>
              </w:tc>
              <w:tc>
                <w:tcPr>
                  <w:tcW w:w="1184" w:type="pct"/>
                  <w:vMerge w:val="restart"/>
                  <w:vAlign w:val="center"/>
                </w:tcPr>
                <w:p>
                  <w:pPr>
                    <w:widowControl/>
                    <w:tabs>
                      <w:tab w:val="left" w:pos="0"/>
                    </w:tabs>
                    <w:jc w:val="center"/>
                    <w:rPr>
                      <w:color w:val="000000"/>
                      <w:szCs w:val="21"/>
                    </w:rPr>
                  </w:pPr>
                  <w:r>
                    <w:rPr>
                      <w:rFonts w:hint="eastAsia"/>
                    </w:rPr>
                    <w:t>危害水环境物质</w:t>
                  </w:r>
                  <w:r>
                    <w:t>(急性毒性类别：急性1，慢性毒性类别：慢性2</w:t>
                  </w:r>
                </w:p>
              </w:tc>
              <w:tc>
                <w:tcPr>
                  <w:tcW w:w="720" w:type="pct"/>
                  <w:vAlign w:val="center"/>
                </w:tcPr>
                <w:p>
                  <w:pPr>
                    <w:widowControl/>
                    <w:snapToGrid w:val="0"/>
                    <w:jc w:val="center"/>
                    <w:rPr>
                      <w:color w:val="000000"/>
                      <w:szCs w:val="21"/>
                    </w:rPr>
                  </w:pPr>
                  <w:r>
                    <w:rPr>
                      <w:rFonts w:hint="eastAsia"/>
                      <w:color w:val="000000"/>
                      <w:szCs w:val="21"/>
                    </w:rPr>
                    <w:t>0.1</w:t>
                  </w:r>
                </w:p>
              </w:tc>
              <w:tc>
                <w:tcPr>
                  <w:tcW w:w="757" w:type="pct"/>
                  <w:vAlign w:val="center"/>
                </w:tcPr>
                <w:p>
                  <w:pPr>
                    <w:widowControl/>
                    <w:tabs>
                      <w:tab w:val="left" w:pos="0"/>
                    </w:tabs>
                    <w:jc w:val="center"/>
                    <w:rPr>
                      <w:color w:val="000000"/>
                      <w:szCs w:val="21"/>
                    </w:rPr>
                  </w:pPr>
                  <w:r>
                    <w:rPr>
                      <w:rFonts w:hint="eastAsia"/>
                      <w:color w:val="000000"/>
                      <w:szCs w:val="21"/>
                    </w:rPr>
                    <w:t>100</w:t>
                  </w:r>
                </w:p>
              </w:tc>
              <w:tc>
                <w:tcPr>
                  <w:tcW w:w="971" w:type="pct"/>
                  <w:vAlign w:val="center"/>
                </w:tcPr>
                <w:p>
                  <w:pPr>
                    <w:widowControl/>
                    <w:tabs>
                      <w:tab w:val="left" w:pos="0"/>
                    </w:tabs>
                    <w:jc w:val="center"/>
                    <w:rPr>
                      <w:color w:val="000000"/>
                      <w:szCs w:val="21"/>
                    </w:rPr>
                  </w:pPr>
                  <w:r>
                    <w:rPr>
                      <w:rFonts w:hint="eastAsia"/>
                      <w:color w:val="000000"/>
                      <w:szCs w:val="21"/>
                    </w:rP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05" w:type="pct"/>
                  <w:vAlign w:val="center"/>
                </w:tcPr>
                <w:p>
                  <w:pPr>
                    <w:widowControl/>
                    <w:tabs>
                      <w:tab w:val="left" w:pos="0"/>
                    </w:tabs>
                    <w:jc w:val="center"/>
                    <w:rPr>
                      <w:color w:val="000000"/>
                      <w:szCs w:val="21"/>
                    </w:rPr>
                  </w:pPr>
                  <w:r>
                    <w:rPr>
                      <w:rFonts w:hint="eastAsia"/>
                      <w:color w:val="000000"/>
                      <w:szCs w:val="21"/>
                    </w:rPr>
                    <w:t>4</w:t>
                  </w:r>
                </w:p>
              </w:tc>
              <w:tc>
                <w:tcPr>
                  <w:tcW w:w="960" w:type="pct"/>
                  <w:vAlign w:val="center"/>
                </w:tcPr>
                <w:p>
                  <w:pPr>
                    <w:pStyle w:val="49"/>
                    <w:spacing w:before="0" w:after="0" w:line="240" w:lineRule="auto"/>
                    <w:ind w:right="0"/>
                    <w:rPr>
                      <w:rFonts w:ascii="Times New Roman" w:hAnsi="Times New Roman" w:eastAsia="宋体"/>
                      <w:color w:val="000000"/>
                      <w:spacing w:val="4"/>
                      <w:kern w:val="2"/>
                      <w:sz w:val="21"/>
                      <w:szCs w:val="21"/>
                    </w:rPr>
                  </w:pPr>
                  <w:r>
                    <w:rPr>
                      <w:rFonts w:hint="eastAsia" w:ascii="Times New Roman" w:hAnsi="Times New Roman" w:eastAsia="宋体"/>
                      <w:color w:val="000000"/>
                      <w:spacing w:val="4"/>
                      <w:kern w:val="2"/>
                      <w:sz w:val="21"/>
                      <w:szCs w:val="21"/>
                    </w:rPr>
                    <w:t>三防漆</w:t>
                  </w:r>
                </w:p>
              </w:tc>
              <w:tc>
                <w:tcPr>
                  <w:tcW w:w="1184" w:type="pct"/>
                  <w:vMerge w:val="continue"/>
                  <w:vAlign w:val="center"/>
                </w:tcPr>
                <w:p>
                  <w:pPr>
                    <w:widowControl/>
                    <w:tabs>
                      <w:tab w:val="left" w:pos="0"/>
                    </w:tabs>
                    <w:jc w:val="center"/>
                    <w:rPr>
                      <w:color w:val="000000"/>
                      <w:szCs w:val="21"/>
                    </w:rPr>
                  </w:pPr>
                </w:p>
              </w:tc>
              <w:tc>
                <w:tcPr>
                  <w:tcW w:w="720" w:type="pct"/>
                  <w:vAlign w:val="center"/>
                </w:tcPr>
                <w:p>
                  <w:pPr>
                    <w:widowControl/>
                    <w:snapToGrid w:val="0"/>
                    <w:jc w:val="center"/>
                    <w:rPr>
                      <w:color w:val="000000"/>
                      <w:szCs w:val="21"/>
                    </w:rPr>
                  </w:pPr>
                  <w:r>
                    <w:rPr>
                      <w:rFonts w:hint="eastAsia"/>
                      <w:color w:val="000000"/>
                      <w:szCs w:val="21"/>
                    </w:rPr>
                    <w:t>0.01</w:t>
                  </w:r>
                </w:p>
              </w:tc>
              <w:tc>
                <w:tcPr>
                  <w:tcW w:w="757" w:type="pct"/>
                  <w:vAlign w:val="center"/>
                </w:tcPr>
                <w:p>
                  <w:pPr>
                    <w:widowControl/>
                    <w:tabs>
                      <w:tab w:val="left" w:pos="0"/>
                    </w:tabs>
                    <w:jc w:val="center"/>
                    <w:rPr>
                      <w:color w:val="000000"/>
                      <w:szCs w:val="21"/>
                    </w:rPr>
                  </w:pPr>
                  <w:r>
                    <w:rPr>
                      <w:rFonts w:hint="eastAsia"/>
                      <w:color w:val="000000"/>
                      <w:szCs w:val="21"/>
                    </w:rPr>
                    <w:t>100</w:t>
                  </w:r>
                </w:p>
              </w:tc>
              <w:tc>
                <w:tcPr>
                  <w:tcW w:w="971" w:type="pct"/>
                  <w:vAlign w:val="center"/>
                </w:tcPr>
                <w:p>
                  <w:pPr>
                    <w:widowControl/>
                    <w:tabs>
                      <w:tab w:val="left" w:pos="0"/>
                    </w:tabs>
                    <w:jc w:val="center"/>
                    <w:rPr>
                      <w:color w:val="000000"/>
                      <w:szCs w:val="21"/>
                    </w:rPr>
                  </w:pPr>
                  <w:r>
                    <w:rPr>
                      <w:rFonts w:hint="eastAsia"/>
                      <w:color w:val="000000"/>
                      <w:szCs w:val="21"/>
                    </w:rPr>
                    <w:t>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405" w:type="pct"/>
                  <w:vAlign w:val="center"/>
                </w:tcPr>
                <w:p>
                  <w:pPr>
                    <w:widowControl/>
                    <w:tabs>
                      <w:tab w:val="left" w:pos="0"/>
                    </w:tabs>
                    <w:jc w:val="center"/>
                    <w:rPr>
                      <w:color w:val="000000"/>
                      <w:szCs w:val="21"/>
                    </w:rPr>
                  </w:pPr>
                  <w:r>
                    <w:rPr>
                      <w:color w:val="000000"/>
                      <w:szCs w:val="21"/>
                    </w:rPr>
                    <w:t>合计</w:t>
                  </w:r>
                </w:p>
              </w:tc>
              <w:tc>
                <w:tcPr>
                  <w:tcW w:w="960" w:type="pct"/>
                  <w:vAlign w:val="center"/>
                </w:tcPr>
                <w:p>
                  <w:pPr>
                    <w:widowControl/>
                    <w:tabs>
                      <w:tab w:val="left" w:pos="0"/>
                    </w:tabs>
                    <w:jc w:val="center"/>
                    <w:rPr>
                      <w:color w:val="000000"/>
                      <w:szCs w:val="21"/>
                    </w:rPr>
                  </w:pPr>
                  <w:r>
                    <w:rPr>
                      <w:color w:val="000000"/>
                      <w:szCs w:val="21"/>
                    </w:rPr>
                    <w:t>/</w:t>
                  </w:r>
                </w:p>
              </w:tc>
              <w:tc>
                <w:tcPr>
                  <w:tcW w:w="1184" w:type="pct"/>
                  <w:vAlign w:val="center"/>
                </w:tcPr>
                <w:p>
                  <w:pPr>
                    <w:widowControl/>
                    <w:tabs>
                      <w:tab w:val="left" w:pos="0"/>
                    </w:tabs>
                    <w:jc w:val="center"/>
                    <w:rPr>
                      <w:color w:val="000000"/>
                      <w:szCs w:val="21"/>
                    </w:rPr>
                  </w:pPr>
                  <w:r>
                    <w:rPr>
                      <w:color w:val="000000"/>
                      <w:szCs w:val="21"/>
                    </w:rPr>
                    <w:t>/</w:t>
                  </w:r>
                </w:p>
              </w:tc>
              <w:tc>
                <w:tcPr>
                  <w:tcW w:w="720" w:type="pct"/>
                  <w:vAlign w:val="center"/>
                </w:tcPr>
                <w:p>
                  <w:pPr>
                    <w:widowControl/>
                    <w:tabs>
                      <w:tab w:val="left" w:pos="0"/>
                    </w:tabs>
                    <w:adjustRightInd w:val="0"/>
                    <w:jc w:val="center"/>
                    <w:textAlignment w:val="baseline"/>
                    <w:rPr>
                      <w:color w:val="000000"/>
                    </w:rPr>
                  </w:pPr>
                  <w:r>
                    <w:rPr>
                      <w:color w:val="000000"/>
                    </w:rPr>
                    <w:t>/</w:t>
                  </w:r>
                </w:p>
              </w:tc>
              <w:tc>
                <w:tcPr>
                  <w:tcW w:w="757" w:type="pct"/>
                  <w:vAlign w:val="center"/>
                </w:tcPr>
                <w:p>
                  <w:pPr>
                    <w:widowControl/>
                    <w:tabs>
                      <w:tab w:val="left" w:pos="0"/>
                    </w:tabs>
                    <w:adjustRightInd w:val="0"/>
                    <w:jc w:val="center"/>
                    <w:textAlignment w:val="baseline"/>
                    <w:rPr>
                      <w:color w:val="000000"/>
                      <w:spacing w:val="4"/>
                      <w:szCs w:val="22"/>
                      <w:lang w:bidi="ar"/>
                    </w:rPr>
                  </w:pPr>
                  <w:r>
                    <w:rPr>
                      <w:color w:val="000000"/>
                      <w:spacing w:val="4"/>
                      <w:szCs w:val="22"/>
                      <w:lang w:bidi="ar"/>
                    </w:rPr>
                    <w:t>/</w:t>
                  </w:r>
                </w:p>
              </w:tc>
              <w:tc>
                <w:tcPr>
                  <w:tcW w:w="971" w:type="pct"/>
                  <w:vAlign w:val="center"/>
                </w:tcPr>
                <w:p>
                  <w:pPr>
                    <w:widowControl/>
                    <w:tabs>
                      <w:tab w:val="left" w:pos="0"/>
                    </w:tabs>
                    <w:jc w:val="center"/>
                    <w:rPr>
                      <w:color w:val="000000"/>
                      <w:szCs w:val="21"/>
                    </w:rPr>
                  </w:pPr>
                  <w:r>
                    <w:rPr>
                      <w:rFonts w:hint="eastAsia"/>
                      <w:color w:val="000000"/>
                      <w:szCs w:val="21"/>
                    </w:rPr>
                    <w:t>0.0027</w:t>
                  </w:r>
                </w:p>
              </w:tc>
            </w:tr>
          </w:tbl>
          <w:p>
            <w:pPr>
              <w:tabs>
                <w:tab w:val="left" w:pos="0"/>
              </w:tabs>
              <w:spacing w:line="360" w:lineRule="auto"/>
              <w:ind w:firstLine="480" w:firstLineChars="200"/>
              <w:jc w:val="left"/>
              <w:rPr>
                <w:color w:val="000000"/>
                <w:sz w:val="24"/>
              </w:rPr>
            </w:pPr>
            <w:r>
              <w:rPr>
                <w:color w:val="000000"/>
                <w:sz w:val="24"/>
              </w:rPr>
              <w:t>经识别，本项目Q值为0.00</w:t>
            </w:r>
            <w:r>
              <w:rPr>
                <w:rFonts w:hint="eastAsia"/>
                <w:color w:val="000000"/>
                <w:sz w:val="24"/>
              </w:rPr>
              <w:t>27</w:t>
            </w:r>
            <w:r>
              <w:rPr>
                <w:color w:val="000000"/>
                <w:sz w:val="24"/>
              </w:rPr>
              <w:t>＜1，因此，本项目环境风险潜势为Ⅰ。</w:t>
            </w:r>
          </w:p>
          <w:p>
            <w:pPr>
              <w:tabs>
                <w:tab w:val="left" w:pos="0"/>
              </w:tabs>
              <w:spacing w:line="360" w:lineRule="auto"/>
              <w:ind w:firstLine="480" w:firstLineChars="200"/>
              <w:rPr>
                <w:color w:val="000000"/>
                <w:sz w:val="24"/>
              </w:rPr>
            </w:pPr>
            <w:r>
              <w:rPr>
                <w:color w:val="000000"/>
                <w:sz w:val="24"/>
              </w:rPr>
              <w:t>③评价等级</w:t>
            </w:r>
          </w:p>
          <w:p>
            <w:pPr>
              <w:tabs>
                <w:tab w:val="left" w:pos="0"/>
              </w:tabs>
              <w:spacing w:line="360" w:lineRule="auto"/>
              <w:ind w:firstLine="480" w:firstLineChars="200"/>
              <w:rPr>
                <w:color w:val="000000"/>
                <w:sz w:val="24"/>
              </w:rPr>
            </w:pPr>
            <w:r>
              <w:rPr>
                <w:color w:val="000000"/>
                <w:sz w:val="24"/>
              </w:rPr>
              <w:t>本项目环境风险潜势为I，根据《建设项目环境风险评价技术导则》（HJ169-2018）评价工作等级划分要求，本项目可开展简单分析。</w:t>
            </w:r>
          </w:p>
          <w:p>
            <w:pPr>
              <w:tabs>
                <w:tab w:val="left" w:pos="0"/>
              </w:tabs>
              <w:spacing w:line="360" w:lineRule="auto"/>
              <w:ind w:firstLine="480" w:firstLineChars="200"/>
              <w:rPr>
                <w:color w:val="000000"/>
                <w:sz w:val="24"/>
              </w:rPr>
            </w:pPr>
            <w:r>
              <w:rPr>
                <w:color w:val="000000"/>
                <w:sz w:val="24"/>
              </w:rPr>
              <w:t>（2）环境敏感目标概况</w:t>
            </w:r>
          </w:p>
          <w:p>
            <w:pPr>
              <w:tabs>
                <w:tab w:val="left" w:pos="0"/>
              </w:tabs>
              <w:spacing w:line="360" w:lineRule="auto"/>
              <w:ind w:firstLine="480" w:firstLineChars="200"/>
              <w:rPr>
                <w:color w:val="000000"/>
                <w:sz w:val="24"/>
              </w:rPr>
            </w:pPr>
            <w:r>
              <w:rPr>
                <w:color w:val="000000"/>
                <w:sz w:val="24"/>
              </w:rPr>
              <w:t>项目位于规划集中工业用地内，周围环境敏感点详见表3-6。</w:t>
            </w:r>
          </w:p>
          <w:p>
            <w:pPr>
              <w:tabs>
                <w:tab w:val="left" w:pos="0"/>
              </w:tabs>
              <w:spacing w:line="360" w:lineRule="auto"/>
              <w:ind w:firstLine="480" w:firstLineChars="200"/>
              <w:rPr>
                <w:color w:val="000000"/>
                <w:sz w:val="24"/>
              </w:rPr>
            </w:pPr>
            <w:r>
              <w:rPr>
                <w:color w:val="000000"/>
                <w:sz w:val="24"/>
              </w:rPr>
              <w:t>（3）环境风险识别</w:t>
            </w:r>
          </w:p>
          <w:p>
            <w:pPr>
              <w:tabs>
                <w:tab w:val="left" w:pos="0"/>
              </w:tabs>
              <w:spacing w:line="360" w:lineRule="auto"/>
              <w:ind w:firstLine="480" w:firstLineChars="200"/>
              <w:jc w:val="left"/>
              <w:rPr>
                <w:color w:val="000000"/>
                <w:sz w:val="24"/>
              </w:rPr>
            </w:pPr>
            <w:r>
              <w:rPr>
                <w:color w:val="000000"/>
                <w:sz w:val="24"/>
              </w:rPr>
              <w:t>本项目危险物质用量较小，各类风险物质暂存在原料库的防爆柜和危废暂存间中，将火灾风险降至最低且符合物品存放规定，安全性较高。在厂区发生火灾、爆炸、泄漏事故时，其可能产生的次生污染包括火灾消防液、消防土及燃烧废气等，这些物质可能会对周围地表水、土壤、大气等造成一定的影响。根据项目风险物质使用情况可知，本项目可能影响环境的途径包括以下几方面：</w:t>
            </w:r>
          </w:p>
          <w:p>
            <w:pPr>
              <w:tabs>
                <w:tab w:val="left" w:pos="0"/>
              </w:tabs>
              <w:spacing w:line="360" w:lineRule="auto"/>
              <w:ind w:firstLine="480"/>
              <w:rPr>
                <w:color w:val="000000"/>
                <w:sz w:val="24"/>
              </w:rPr>
            </w:pPr>
            <w:r>
              <w:rPr>
                <w:color w:val="000000"/>
                <w:sz w:val="24"/>
              </w:rPr>
              <w:t>1）有机试剂使用时遇明火和可燃物，发生火灾，燃烧后产生次生污染物通过大气扩散影响周围环境；</w:t>
            </w:r>
          </w:p>
          <w:p>
            <w:pPr>
              <w:tabs>
                <w:tab w:val="left" w:pos="0"/>
              </w:tabs>
              <w:spacing w:line="360" w:lineRule="auto"/>
              <w:ind w:firstLine="480"/>
              <w:rPr>
                <w:color w:val="000000"/>
                <w:sz w:val="24"/>
              </w:rPr>
            </w:pPr>
            <w:r>
              <w:rPr>
                <w:color w:val="000000"/>
                <w:sz w:val="24"/>
              </w:rPr>
              <w:t>2）使用后的危废暂存在危废暂存间中时发生泄露，渗漏影响周围土壤及地下水环境；</w:t>
            </w:r>
          </w:p>
          <w:p>
            <w:pPr>
              <w:tabs>
                <w:tab w:val="left" w:pos="0"/>
              </w:tabs>
              <w:spacing w:line="360" w:lineRule="auto"/>
              <w:ind w:firstLine="480" w:firstLineChars="200"/>
              <w:rPr>
                <w:color w:val="000000"/>
                <w:sz w:val="24"/>
              </w:rPr>
            </w:pPr>
            <w:r>
              <w:rPr>
                <w:color w:val="000000"/>
                <w:sz w:val="24"/>
              </w:rPr>
              <w:t>（4）环境风险分析</w:t>
            </w:r>
          </w:p>
          <w:p>
            <w:pPr>
              <w:tabs>
                <w:tab w:val="left" w:pos="0"/>
              </w:tabs>
              <w:spacing w:line="360" w:lineRule="auto"/>
              <w:ind w:firstLine="480" w:firstLineChars="200"/>
              <w:jc w:val="left"/>
              <w:rPr>
                <w:color w:val="000000"/>
                <w:sz w:val="24"/>
              </w:rPr>
            </w:pPr>
            <w:r>
              <w:rPr>
                <w:color w:val="000000"/>
                <w:sz w:val="24"/>
              </w:rPr>
              <w:t>本项目主要风险物质均储存于原料库内的防爆柜和危废暂存间中。在暂存区火灾爆炸时，容器内可燃液体泄出后而引起火灾，同时容器中液体或气体向外环境溢出或散发出，其可能产生的次生污染为火灾消防液、消防土及燃烧废气。在暂存区发生火灾爆炸时，有可能引燃周围易燃物质，产生的伴生事故为其它易燃物质的火灾爆炸，产生的伴生污染为燃烧产物，参考物质化学组分，燃烧产物主要为一氧化碳、二氧化碳等。</w:t>
            </w:r>
          </w:p>
          <w:p>
            <w:pPr>
              <w:tabs>
                <w:tab w:val="left" w:pos="0"/>
              </w:tabs>
              <w:spacing w:line="360" w:lineRule="auto"/>
              <w:ind w:firstLine="480" w:firstLineChars="200"/>
              <w:jc w:val="left"/>
              <w:rPr>
                <w:color w:val="000000"/>
                <w:sz w:val="24"/>
              </w:rPr>
            </w:pPr>
            <w:r>
              <w:rPr>
                <w:color w:val="000000"/>
                <w:sz w:val="24"/>
              </w:rPr>
              <w:t>储存单元泄漏发生爆炸事故时，有可能发生连锁爆炸。另外在厂区发生火灾、爆炸事故时，其可能产生的次生污染包括火灾消防液、消防土及燃烧废气等，这些物质可能会对周围地表水、土壤、大气等造成一定的影响。建设单位在发生火灾爆炸事故时，将所有废水废液妥善收集，待事故结束后，对事故池（依托租赁方）内废水进行检测分析，根据水质情况拟定相应处理、处置措施，可有效防止污染物最终进入水体。本项目污染物在采取了相应的应急措施后，可有效防止其扩散到周围水体，并可以得到妥善处置。</w:t>
            </w:r>
          </w:p>
          <w:p>
            <w:pPr>
              <w:tabs>
                <w:tab w:val="left" w:pos="0"/>
              </w:tabs>
              <w:spacing w:line="360" w:lineRule="auto"/>
              <w:ind w:firstLine="480" w:firstLineChars="200"/>
              <w:rPr>
                <w:color w:val="000000"/>
                <w:sz w:val="24"/>
              </w:rPr>
            </w:pPr>
            <w:r>
              <w:rPr>
                <w:color w:val="000000"/>
                <w:sz w:val="24"/>
              </w:rPr>
              <w:t>（5）环境风险防范措施及应急要求</w:t>
            </w:r>
          </w:p>
          <w:p>
            <w:pPr>
              <w:tabs>
                <w:tab w:val="left" w:pos="0"/>
              </w:tabs>
              <w:spacing w:line="360" w:lineRule="auto"/>
              <w:ind w:firstLine="480" w:firstLineChars="200"/>
              <w:jc w:val="left"/>
              <w:rPr>
                <w:color w:val="000000"/>
                <w:sz w:val="24"/>
              </w:rPr>
            </w:pPr>
            <w:r>
              <w:rPr>
                <w:color w:val="000000"/>
                <w:sz w:val="24"/>
              </w:rPr>
              <w:t>一、化学品安全管理制度</w:t>
            </w:r>
          </w:p>
          <w:p>
            <w:pPr>
              <w:tabs>
                <w:tab w:val="left" w:pos="0"/>
              </w:tabs>
              <w:spacing w:line="360" w:lineRule="auto"/>
              <w:ind w:firstLine="480" w:firstLineChars="200"/>
              <w:jc w:val="left"/>
              <w:rPr>
                <w:color w:val="000000"/>
                <w:sz w:val="24"/>
              </w:rPr>
            </w:pPr>
            <w:r>
              <w:rPr>
                <w:color w:val="000000"/>
                <w:sz w:val="24"/>
              </w:rPr>
              <w:t>①建立公司化学品防爆柜内各类化学品定期汇总登记制度。定期登记汇总的危险化学品种类和数量存档、备查并报当地环境保护行政主管部门。</w:t>
            </w:r>
          </w:p>
          <w:p>
            <w:pPr>
              <w:tabs>
                <w:tab w:val="left" w:pos="0"/>
              </w:tabs>
              <w:spacing w:line="360" w:lineRule="auto"/>
              <w:ind w:firstLine="480" w:firstLineChars="200"/>
              <w:jc w:val="left"/>
              <w:rPr>
                <w:color w:val="000000"/>
                <w:sz w:val="24"/>
              </w:rPr>
            </w:pPr>
            <w:r>
              <w:rPr>
                <w:color w:val="000000"/>
                <w:sz w:val="24"/>
              </w:rPr>
              <w:t>②努力改进并达到车间采用无毒、无害或者低毒、低害的材料，替代毒性大、危害严重的材料；采用利用率高、污染物产生量少的生产工艺和设备；应尽可能减少危险化学物品的使用；必须使用的，要采取有效的措施，降低排放量，并分类收集和处理，以降低其危险性。</w:t>
            </w:r>
          </w:p>
          <w:p>
            <w:pPr>
              <w:tabs>
                <w:tab w:val="left" w:pos="0"/>
              </w:tabs>
              <w:spacing w:line="360" w:lineRule="auto"/>
              <w:ind w:firstLine="480" w:firstLineChars="200"/>
              <w:jc w:val="left"/>
              <w:rPr>
                <w:color w:val="000000"/>
                <w:sz w:val="24"/>
              </w:rPr>
            </w:pPr>
            <w:r>
              <w:rPr>
                <w:color w:val="000000"/>
                <w:sz w:val="24"/>
              </w:rPr>
              <w:t>③废气、固体废物、噪声等污染物排放频繁的车间，安装符合环境保护要求的污染治理设施，保证污染治理设施处于正常工作状态并达标排放。</w:t>
            </w:r>
          </w:p>
          <w:p>
            <w:pPr>
              <w:tabs>
                <w:tab w:val="left" w:pos="0"/>
              </w:tabs>
              <w:spacing w:line="360" w:lineRule="auto"/>
              <w:ind w:firstLine="480" w:firstLineChars="200"/>
              <w:jc w:val="left"/>
              <w:rPr>
                <w:color w:val="000000"/>
                <w:sz w:val="24"/>
              </w:rPr>
            </w:pPr>
            <w:r>
              <w:rPr>
                <w:color w:val="000000"/>
                <w:sz w:val="24"/>
              </w:rPr>
              <w:t>④建立危险废弃物安全管理制度。危险废弃物应妥善收集并转移至持有危险废物处置许可证的单位进行处置。</w:t>
            </w:r>
          </w:p>
          <w:p>
            <w:pPr>
              <w:tabs>
                <w:tab w:val="left" w:pos="0"/>
              </w:tabs>
              <w:spacing w:line="360" w:lineRule="auto"/>
              <w:ind w:firstLine="480" w:firstLineChars="200"/>
              <w:jc w:val="left"/>
              <w:rPr>
                <w:color w:val="000000"/>
                <w:sz w:val="24"/>
              </w:rPr>
            </w:pPr>
            <w:r>
              <w:rPr>
                <w:color w:val="000000"/>
                <w:sz w:val="24"/>
              </w:rPr>
              <w:t>二、车间设计安全防范措施</w:t>
            </w:r>
          </w:p>
          <w:p>
            <w:pPr>
              <w:tabs>
                <w:tab w:val="left" w:pos="0"/>
              </w:tabs>
              <w:spacing w:line="360" w:lineRule="auto"/>
              <w:ind w:firstLine="480" w:firstLineChars="200"/>
              <w:jc w:val="left"/>
              <w:rPr>
                <w:color w:val="000000"/>
                <w:sz w:val="24"/>
              </w:rPr>
            </w:pPr>
            <w:r>
              <w:rPr>
                <w:color w:val="000000"/>
                <w:sz w:val="24"/>
              </w:rPr>
              <w:t>①本项目应建立完善的化学品安全储存与管理制度、车间设计安全防范措施和管理措施，以及应急预案制度。通过采取风险防范于应急预案措施，将建设项目的环境风险控制在最低水平。</w:t>
            </w:r>
          </w:p>
          <w:p>
            <w:pPr>
              <w:tabs>
                <w:tab w:val="left" w:pos="0"/>
              </w:tabs>
              <w:spacing w:line="360" w:lineRule="auto"/>
              <w:ind w:firstLine="480" w:firstLineChars="200"/>
              <w:jc w:val="left"/>
              <w:rPr>
                <w:color w:val="000000"/>
                <w:sz w:val="24"/>
              </w:rPr>
            </w:pPr>
            <w:r>
              <w:rPr>
                <w:color w:val="000000"/>
                <w:sz w:val="24"/>
              </w:rPr>
              <w:t>②重点考虑工艺、设备的安全可靠性。工艺、设备设计中预留有足够的安全裕度。</w:t>
            </w:r>
          </w:p>
          <w:p>
            <w:pPr>
              <w:tabs>
                <w:tab w:val="left" w:pos="0"/>
              </w:tabs>
              <w:spacing w:line="360" w:lineRule="auto"/>
              <w:ind w:firstLine="480" w:firstLineChars="200"/>
              <w:jc w:val="left"/>
              <w:rPr>
                <w:color w:val="000000"/>
                <w:sz w:val="24"/>
              </w:rPr>
            </w:pPr>
            <w:r>
              <w:rPr>
                <w:color w:val="000000"/>
                <w:sz w:val="24"/>
              </w:rPr>
              <w:t>③加强通风及设备维修，杜绝跑、冒、滴、漏。保证供水和水压。</w:t>
            </w:r>
          </w:p>
          <w:p>
            <w:pPr>
              <w:tabs>
                <w:tab w:val="left" w:pos="0"/>
              </w:tabs>
              <w:spacing w:line="360" w:lineRule="auto"/>
              <w:ind w:firstLine="480" w:firstLineChars="200"/>
              <w:jc w:val="left"/>
              <w:rPr>
                <w:color w:val="000000"/>
                <w:sz w:val="24"/>
              </w:rPr>
            </w:pPr>
            <w:r>
              <w:rPr>
                <w:color w:val="000000"/>
                <w:sz w:val="24"/>
              </w:rPr>
              <w:t>④加强生产过程自动化操作。尽可能采用自控系统和计算机技术，提高装置的本质安全度，避免作业人员接触危险物质。</w:t>
            </w:r>
          </w:p>
          <w:p>
            <w:pPr>
              <w:tabs>
                <w:tab w:val="left" w:pos="0"/>
              </w:tabs>
              <w:spacing w:line="360" w:lineRule="auto"/>
              <w:ind w:firstLine="480" w:firstLineChars="200"/>
              <w:jc w:val="left"/>
              <w:rPr>
                <w:color w:val="000000"/>
                <w:sz w:val="24"/>
              </w:rPr>
            </w:pPr>
            <w:r>
              <w:rPr>
                <w:color w:val="000000"/>
                <w:sz w:val="24"/>
              </w:rPr>
              <w:t>⑤建立一套完好的操作记录，建立生产设备运行台账，做到一机一档，发现问题及时解决。</w:t>
            </w:r>
          </w:p>
          <w:p>
            <w:pPr>
              <w:tabs>
                <w:tab w:val="left" w:pos="0"/>
              </w:tabs>
              <w:spacing w:line="360" w:lineRule="auto"/>
              <w:ind w:firstLine="480" w:firstLineChars="200"/>
              <w:jc w:val="left"/>
              <w:rPr>
                <w:color w:val="000000"/>
                <w:sz w:val="24"/>
              </w:rPr>
            </w:pPr>
            <w:r>
              <w:rPr>
                <w:color w:val="000000"/>
                <w:sz w:val="24"/>
              </w:rPr>
              <w:t>三、火灾的应急措施</w:t>
            </w:r>
          </w:p>
          <w:p>
            <w:pPr>
              <w:tabs>
                <w:tab w:val="left" w:pos="0"/>
              </w:tabs>
              <w:spacing w:line="360" w:lineRule="auto"/>
              <w:ind w:firstLine="480" w:firstLineChars="200"/>
              <w:jc w:val="left"/>
              <w:rPr>
                <w:color w:val="000000"/>
                <w:sz w:val="24"/>
              </w:rPr>
            </w:pPr>
            <w:r>
              <w:rPr>
                <w:color w:val="000000"/>
                <w:sz w:val="24"/>
              </w:rPr>
              <w:t>1）Ⅱ级响应下的应急处置方案</w:t>
            </w:r>
          </w:p>
          <w:p>
            <w:pPr>
              <w:tabs>
                <w:tab w:val="left" w:pos="0"/>
              </w:tabs>
              <w:spacing w:line="360" w:lineRule="auto"/>
              <w:ind w:firstLine="480" w:firstLineChars="200"/>
              <w:jc w:val="left"/>
              <w:rPr>
                <w:color w:val="000000"/>
                <w:sz w:val="24"/>
              </w:rPr>
            </w:pPr>
            <w:r>
              <w:rPr>
                <w:color w:val="000000"/>
                <w:sz w:val="24"/>
              </w:rPr>
              <w:t>①火灾发现人立即用电话等方式通知公司及车间值班领导和保安室；</w:t>
            </w:r>
          </w:p>
          <w:p>
            <w:pPr>
              <w:tabs>
                <w:tab w:val="left" w:pos="0"/>
              </w:tabs>
              <w:spacing w:line="360" w:lineRule="auto"/>
              <w:ind w:firstLine="480" w:firstLineChars="200"/>
              <w:jc w:val="left"/>
              <w:rPr>
                <w:color w:val="000000"/>
                <w:sz w:val="24"/>
              </w:rPr>
            </w:pPr>
            <w:r>
              <w:rPr>
                <w:color w:val="000000"/>
                <w:sz w:val="24"/>
              </w:rPr>
              <w:t>②值班领导（总值班）立即判断响应级别，启动《事故应急救援预案》；</w:t>
            </w:r>
          </w:p>
          <w:p>
            <w:pPr>
              <w:tabs>
                <w:tab w:val="left" w:pos="0"/>
              </w:tabs>
              <w:spacing w:line="360" w:lineRule="auto"/>
              <w:ind w:firstLine="480" w:firstLineChars="200"/>
              <w:jc w:val="left"/>
              <w:rPr>
                <w:color w:val="000000"/>
                <w:sz w:val="24"/>
              </w:rPr>
            </w:pPr>
            <w:r>
              <w:rPr>
                <w:color w:val="000000"/>
                <w:sz w:val="24"/>
              </w:rPr>
              <w:t>③值班领导立即向上级领导汇报，请求指令；</w:t>
            </w:r>
          </w:p>
          <w:p>
            <w:pPr>
              <w:tabs>
                <w:tab w:val="left" w:pos="0"/>
              </w:tabs>
              <w:spacing w:line="360" w:lineRule="auto"/>
              <w:ind w:firstLine="480" w:firstLineChars="200"/>
              <w:jc w:val="left"/>
              <w:rPr>
                <w:color w:val="000000"/>
                <w:sz w:val="24"/>
              </w:rPr>
            </w:pPr>
            <w:r>
              <w:rPr>
                <w:color w:val="000000"/>
                <w:sz w:val="24"/>
              </w:rPr>
              <w:t>④值班领导指挥事故现场利用灭火器、黄沙、雾状水、泡沫等进行自救；</w:t>
            </w:r>
          </w:p>
          <w:p>
            <w:pPr>
              <w:tabs>
                <w:tab w:val="left" w:pos="0"/>
              </w:tabs>
              <w:spacing w:line="360" w:lineRule="auto"/>
              <w:ind w:firstLine="480" w:firstLineChars="200"/>
              <w:jc w:val="left"/>
              <w:rPr>
                <w:color w:val="000000"/>
                <w:sz w:val="24"/>
              </w:rPr>
            </w:pPr>
            <w:r>
              <w:rPr>
                <w:color w:val="000000"/>
                <w:sz w:val="24"/>
              </w:rPr>
              <w:t>⑤根据现场实际情况，可以采用消防水喷淋水保护，水冷却系统保护化学品存放区和火场相邻设备、管线等，保护临近目标；</w:t>
            </w:r>
          </w:p>
          <w:p>
            <w:pPr>
              <w:tabs>
                <w:tab w:val="left" w:pos="0"/>
              </w:tabs>
              <w:spacing w:line="360" w:lineRule="auto"/>
              <w:ind w:firstLine="480" w:firstLineChars="200"/>
              <w:jc w:val="left"/>
              <w:rPr>
                <w:color w:val="000000"/>
                <w:sz w:val="24"/>
              </w:rPr>
            </w:pPr>
            <w:r>
              <w:rPr>
                <w:color w:val="000000"/>
                <w:sz w:val="24"/>
              </w:rPr>
              <w:t>⑥切断雨排水总排口，打开事故应急池水泵开关，将消防用水引至事故应急池；</w:t>
            </w:r>
          </w:p>
          <w:p>
            <w:pPr>
              <w:tabs>
                <w:tab w:val="left" w:pos="0"/>
              </w:tabs>
              <w:spacing w:line="360" w:lineRule="auto"/>
              <w:ind w:firstLine="480" w:firstLineChars="200"/>
              <w:jc w:val="left"/>
              <w:rPr>
                <w:color w:val="000000"/>
                <w:sz w:val="24"/>
              </w:rPr>
            </w:pPr>
            <w:r>
              <w:rPr>
                <w:color w:val="000000"/>
                <w:sz w:val="24"/>
              </w:rPr>
              <w:t>⑦值班领导认真做好书面的事故记录，并向公司领导汇报：</w:t>
            </w:r>
          </w:p>
          <w:p>
            <w:pPr>
              <w:tabs>
                <w:tab w:val="left" w:pos="0"/>
              </w:tabs>
              <w:spacing w:line="360" w:lineRule="auto"/>
              <w:ind w:firstLine="480" w:firstLineChars="200"/>
              <w:jc w:val="left"/>
              <w:rPr>
                <w:color w:val="000000"/>
                <w:sz w:val="24"/>
              </w:rPr>
            </w:pPr>
            <w:r>
              <w:rPr>
                <w:color w:val="000000"/>
                <w:sz w:val="24"/>
              </w:rPr>
              <w:t>2）Ⅱ级响应上升到Ⅰ级响应的应急处置方案</w:t>
            </w:r>
          </w:p>
          <w:p>
            <w:pPr>
              <w:tabs>
                <w:tab w:val="left" w:pos="0"/>
              </w:tabs>
              <w:spacing w:line="360" w:lineRule="auto"/>
              <w:ind w:firstLine="480" w:firstLineChars="200"/>
              <w:jc w:val="left"/>
              <w:rPr>
                <w:color w:val="000000"/>
                <w:sz w:val="24"/>
              </w:rPr>
            </w:pPr>
            <w:r>
              <w:rPr>
                <w:color w:val="000000"/>
                <w:sz w:val="24"/>
              </w:rPr>
              <w:t>①现场应急指挥部市即向苏州市相关部门，同时聘请有关专家，组建一级响应现场指挥部；</w:t>
            </w:r>
          </w:p>
          <w:p>
            <w:pPr>
              <w:tabs>
                <w:tab w:val="left" w:pos="0"/>
              </w:tabs>
              <w:spacing w:line="360" w:lineRule="auto"/>
              <w:ind w:firstLine="480" w:firstLineChars="200"/>
              <w:jc w:val="left"/>
              <w:rPr>
                <w:color w:val="000000"/>
                <w:sz w:val="24"/>
              </w:rPr>
            </w:pPr>
            <w:r>
              <w:rPr>
                <w:color w:val="000000"/>
                <w:sz w:val="24"/>
              </w:rPr>
              <w:t>②由于现场火势大，难以靠近，现场救援工作有专业队伍承担；</w:t>
            </w:r>
          </w:p>
          <w:p>
            <w:pPr>
              <w:tabs>
                <w:tab w:val="left" w:pos="0"/>
              </w:tabs>
              <w:spacing w:line="360" w:lineRule="auto"/>
              <w:ind w:firstLine="480" w:firstLineChars="200"/>
              <w:jc w:val="left"/>
              <w:rPr>
                <w:color w:val="000000"/>
                <w:sz w:val="24"/>
              </w:rPr>
            </w:pPr>
            <w:r>
              <w:rPr>
                <w:color w:val="000000"/>
                <w:sz w:val="24"/>
              </w:rPr>
              <w:t>③撤离灾害现场人员，划定禁戒区域，组织周边居民疏散，实施戒严；</w:t>
            </w:r>
          </w:p>
          <w:p>
            <w:pPr>
              <w:tabs>
                <w:tab w:val="left" w:pos="0"/>
              </w:tabs>
              <w:spacing w:line="360" w:lineRule="auto"/>
              <w:ind w:firstLine="480" w:firstLineChars="200"/>
              <w:jc w:val="left"/>
              <w:rPr>
                <w:color w:val="000000"/>
                <w:sz w:val="24"/>
              </w:rPr>
            </w:pPr>
            <w:r>
              <w:rPr>
                <w:color w:val="000000"/>
                <w:sz w:val="24"/>
              </w:rPr>
              <w:t>④引导专业救援人员、物资进出；</w:t>
            </w:r>
          </w:p>
          <w:p>
            <w:pPr>
              <w:tabs>
                <w:tab w:val="left" w:pos="0"/>
              </w:tabs>
              <w:spacing w:line="360" w:lineRule="auto"/>
              <w:ind w:firstLine="480" w:firstLineChars="200"/>
              <w:jc w:val="left"/>
              <w:rPr>
                <w:color w:val="000000"/>
                <w:sz w:val="24"/>
              </w:rPr>
            </w:pPr>
            <w:r>
              <w:rPr>
                <w:color w:val="000000"/>
                <w:sz w:val="24"/>
              </w:rPr>
              <w:t>⑤组织环保部门，做好环境污染监测；</w:t>
            </w:r>
          </w:p>
          <w:p>
            <w:pPr>
              <w:tabs>
                <w:tab w:val="left" w:pos="0"/>
              </w:tabs>
              <w:spacing w:line="360" w:lineRule="auto"/>
              <w:ind w:firstLine="480" w:firstLineChars="200"/>
              <w:jc w:val="left"/>
              <w:rPr>
                <w:color w:val="000000"/>
                <w:sz w:val="24"/>
              </w:rPr>
            </w:pPr>
            <w:r>
              <w:rPr>
                <w:color w:val="000000"/>
                <w:sz w:val="24"/>
              </w:rPr>
              <w:t>⑥切断厂区雨排水总排口，打开事故应急池水泵开关，将消防用水引至事故应急池，交有资质单位处理。值班领导做好救援工作过程信息传达，配合工作，随时做好书面记录。如命令传达、物资数量、新的救援、实施时间、总攻时间等。</w:t>
            </w:r>
          </w:p>
          <w:p>
            <w:pPr>
              <w:tabs>
                <w:tab w:val="left" w:pos="0"/>
              </w:tabs>
              <w:spacing w:line="360" w:lineRule="auto"/>
              <w:ind w:firstLine="480" w:firstLineChars="200"/>
              <w:jc w:val="left"/>
              <w:rPr>
                <w:color w:val="000000"/>
                <w:sz w:val="24"/>
              </w:rPr>
            </w:pPr>
            <w:r>
              <w:rPr>
                <w:color w:val="000000"/>
                <w:sz w:val="24"/>
              </w:rPr>
              <w:t>四、储存风险防范措施：</w:t>
            </w:r>
          </w:p>
          <w:p>
            <w:pPr>
              <w:numPr>
                <w:ilvl w:val="0"/>
                <w:numId w:val="6"/>
              </w:numPr>
              <w:tabs>
                <w:tab w:val="left" w:pos="0"/>
              </w:tabs>
              <w:spacing w:line="360" w:lineRule="auto"/>
              <w:ind w:firstLine="480" w:firstLineChars="200"/>
              <w:jc w:val="left"/>
              <w:rPr>
                <w:color w:val="000000"/>
                <w:sz w:val="24"/>
              </w:rPr>
            </w:pPr>
            <w:r>
              <w:rPr>
                <w:color w:val="000000"/>
                <w:sz w:val="24"/>
              </w:rPr>
              <w:t>严格按《危险化学品安全管理条例》的要求，加强对危险化学品的管理；制定危险化学品安全操作规程，要求操作人员严格按照操作规程作业；对从事危险化学作业人员定期进行安全培训教育；经常性对危险化学品作业场所进行安全检查。</w:t>
            </w:r>
          </w:p>
          <w:p>
            <w:pPr>
              <w:numPr>
                <w:ilvl w:val="0"/>
                <w:numId w:val="6"/>
              </w:numPr>
              <w:tabs>
                <w:tab w:val="left" w:pos="0"/>
              </w:tabs>
              <w:spacing w:line="360" w:lineRule="auto"/>
              <w:ind w:firstLine="480" w:firstLineChars="200"/>
              <w:rPr>
                <w:color w:val="000000"/>
                <w:sz w:val="24"/>
              </w:rPr>
            </w:pPr>
            <w:r>
              <w:rPr>
                <w:color w:val="000000"/>
                <w:sz w:val="24"/>
              </w:rPr>
              <w:t>建立健全安全规程及执勤制度，设置通讯、报警装置，确保设备储存空间处于完好状态；对储存危险化学品的容器，应经有关检验部门定期检验合格后，才能使用，并设置明显的标识及警示牌；对使用危险化学品的名称、数量进行严格登记；凡储存、使用危险化学品的岗位，都应配置合格的防毒器材、消防器材，并确保其处于完好状态；所有进入储存、使用化学品的人员，都必须严格遵守《危险化学品管理制度》。</w:t>
            </w:r>
          </w:p>
          <w:p>
            <w:pPr>
              <w:tabs>
                <w:tab w:val="left" w:pos="0"/>
              </w:tabs>
              <w:spacing w:line="360" w:lineRule="auto"/>
              <w:ind w:firstLine="480" w:firstLineChars="200"/>
              <w:jc w:val="left"/>
              <w:rPr>
                <w:color w:val="000000"/>
                <w:sz w:val="24"/>
              </w:rPr>
            </w:pPr>
            <w:r>
              <w:rPr>
                <w:color w:val="000000"/>
                <w:sz w:val="24"/>
              </w:rPr>
              <w:t>3）危废暂存间按照</w:t>
            </w:r>
            <w:r>
              <w:rPr>
                <w:rFonts w:hint="eastAsia"/>
                <w:color w:val="000000"/>
                <w:sz w:val="24"/>
              </w:rPr>
              <w:t>《危险废物贮存污染控制标准》（GB18597-2023）</w:t>
            </w:r>
            <w:r>
              <w:rPr>
                <w:color w:val="000000"/>
                <w:sz w:val="24"/>
              </w:rPr>
              <w:t>及其修改单的规定进行设计，危废暂存场地将做到以下几点：①废物贮存设施按《环境保护图形标志》（GB15562-1995）的规定设置警示标志；②废物贮存设施周围设置围墙火或其它防护栅栏；③废物贮存设施配备照明设施，安全防护服装及工具，并设有应急防护设施；④基础地面必须做防渗处理。</w:t>
            </w:r>
          </w:p>
          <w:p>
            <w:pPr>
              <w:tabs>
                <w:tab w:val="left" w:pos="0"/>
              </w:tabs>
              <w:spacing w:line="360" w:lineRule="auto"/>
              <w:ind w:firstLine="480" w:firstLineChars="200"/>
              <w:jc w:val="left"/>
              <w:rPr>
                <w:color w:val="000000"/>
                <w:sz w:val="24"/>
              </w:rPr>
            </w:pPr>
            <w:r>
              <w:rPr>
                <w:color w:val="000000"/>
                <w:sz w:val="24"/>
              </w:rPr>
              <w:t>五、管理方面风险防范措施：</w:t>
            </w:r>
          </w:p>
          <w:p>
            <w:pPr>
              <w:tabs>
                <w:tab w:val="left" w:pos="0"/>
              </w:tabs>
              <w:spacing w:line="360" w:lineRule="auto"/>
              <w:ind w:firstLine="480" w:firstLineChars="200"/>
              <w:jc w:val="left"/>
              <w:rPr>
                <w:color w:val="000000"/>
                <w:sz w:val="24"/>
              </w:rPr>
            </w:pPr>
            <w:r>
              <w:rPr>
                <w:color w:val="000000"/>
                <w:sz w:val="24"/>
              </w:rPr>
              <w:t>1）建设项目的工程设计应严格遵守我国现行环保安全方面的法规和技术标准。工程设计、施工过程及施工验收各环节要严格把好“三同时”审查关。</w:t>
            </w:r>
          </w:p>
          <w:p>
            <w:pPr>
              <w:tabs>
                <w:tab w:val="left" w:pos="0"/>
              </w:tabs>
              <w:spacing w:line="360" w:lineRule="auto"/>
              <w:ind w:firstLine="480" w:firstLineChars="200"/>
              <w:jc w:val="left"/>
              <w:rPr>
                <w:color w:val="000000"/>
                <w:sz w:val="24"/>
              </w:rPr>
            </w:pPr>
            <w:r>
              <w:rPr>
                <w:color w:val="000000"/>
                <w:sz w:val="24"/>
              </w:rPr>
              <w:t>2）切实加强对工艺操作的完全管理，确保操作规程和安全操作规程的贯彻执行。</w:t>
            </w:r>
          </w:p>
          <w:p>
            <w:pPr>
              <w:tabs>
                <w:tab w:val="left" w:pos="0"/>
              </w:tabs>
              <w:spacing w:line="360" w:lineRule="auto"/>
              <w:ind w:firstLine="480" w:firstLineChars="200"/>
              <w:jc w:val="left"/>
              <w:rPr>
                <w:color w:val="000000"/>
                <w:sz w:val="24"/>
              </w:rPr>
            </w:pPr>
            <w:r>
              <w:rPr>
                <w:color w:val="000000"/>
                <w:sz w:val="24"/>
              </w:rPr>
              <w:t>3）加强对职工环保安全教育，专业培训和考核，使职工具有高度的安全责任心，熟练的操作技能，增强事故情况应急处理能力。</w:t>
            </w:r>
          </w:p>
          <w:p>
            <w:pPr>
              <w:tabs>
                <w:tab w:val="left" w:pos="0"/>
              </w:tabs>
              <w:spacing w:line="360" w:lineRule="auto"/>
              <w:ind w:firstLine="480" w:firstLineChars="200"/>
              <w:jc w:val="left"/>
              <w:rPr>
                <w:color w:val="000000"/>
                <w:sz w:val="24"/>
              </w:rPr>
            </w:pPr>
            <w:r>
              <w:rPr>
                <w:color w:val="000000"/>
                <w:sz w:val="24"/>
              </w:rPr>
              <w:t>4）制定风险事故的应急预案并落实到人，一旦发生事故，就能迅速采取防范措施进行控制，把事故所造成的影响降低到最小程度。</w:t>
            </w:r>
          </w:p>
          <w:p>
            <w:pPr>
              <w:tabs>
                <w:tab w:val="left" w:pos="0"/>
              </w:tabs>
              <w:spacing w:line="360" w:lineRule="auto"/>
              <w:ind w:firstLine="480" w:firstLineChars="200"/>
              <w:jc w:val="left"/>
              <w:rPr>
                <w:color w:val="000000"/>
                <w:sz w:val="24"/>
              </w:rPr>
            </w:pPr>
            <w:r>
              <w:rPr>
                <w:color w:val="000000"/>
                <w:sz w:val="24"/>
              </w:rPr>
              <w:t>5）建立健全各种生产及环保设备的管理制度、管理台账和技术档案，尤其要完善设备的检维修管理制度。</w:t>
            </w:r>
          </w:p>
          <w:p>
            <w:pPr>
              <w:tabs>
                <w:tab w:val="left" w:pos="0"/>
              </w:tabs>
              <w:spacing w:line="360" w:lineRule="auto"/>
              <w:ind w:firstLine="480" w:firstLineChars="200"/>
              <w:jc w:val="left"/>
              <w:rPr>
                <w:color w:val="000000"/>
                <w:sz w:val="24"/>
              </w:rPr>
            </w:pPr>
            <w:r>
              <w:rPr>
                <w:color w:val="000000"/>
                <w:sz w:val="24"/>
              </w:rPr>
              <w:t>6）事故的应急计划是根据工程风险源风险分析，制定的防止事故发生和减少事故发生后的损失的计划。</w:t>
            </w:r>
          </w:p>
          <w:p>
            <w:pPr>
              <w:tabs>
                <w:tab w:val="left" w:pos="0"/>
              </w:tabs>
              <w:spacing w:line="360" w:lineRule="auto"/>
              <w:ind w:firstLine="480" w:firstLineChars="200"/>
              <w:jc w:val="left"/>
              <w:rPr>
                <w:color w:val="000000"/>
                <w:sz w:val="24"/>
              </w:rPr>
            </w:pPr>
            <w:r>
              <w:rPr>
                <w:color w:val="000000"/>
                <w:sz w:val="24"/>
              </w:rPr>
              <w:t>六、危废风险防范措施及应急要求：</w:t>
            </w:r>
          </w:p>
          <w:p>
            <w:pPr>
              <w:tabs>
                <w:tab w:val="left" w:pos="0"/>
              </w:tabs>
              <w:wordWrap w:val="0"/>
              <w:spacing w:line="360" w:lineRule="auto"/>
              <w:ind w:firstLine="480" w:firstLineChars="200"/>
              <w:jc w:val="left"/>
              <w:rPr>
                <w:color w:val="000000"/>
                <w:sz w:val="24"/>
              </w:rPr>
            </w:pPr>
            <w:r>
              <w:rPr>
                <w:color w:val="000000"/>
                <w:sz w:val="24"/>
              </w:rPr>
              <w:t>本项目产生的危险废物在厂内危废暂存间暂存，分类收集定期委托有资质单位安全处置。危废储存场所按相关规定制定危废管理计划并加强贮存、运输过程管理，危废暂存间内分类分区存放，避免混合存放从而导致事故的发生。</w:t>
            </w:r>
          </w:p>
          <w:p>
            <w:pPr>
              <w:spacing w:line="360" w:lineRule="auto"/>
              <w:ind w:firstLine="424" w:firstLineChars="177"/>
              <w:jc w:val="left"/>
              <w:rPr>
                <w:color w:val="000000"/>
                <w:sz w:val="24"/>
              </w:rPr>
            </w:pPr>
            <w:r>
              <w:rPr>
                <w:color w:val="000000"/>
                <w:sz w:val="24"/>
              </w:rPr>
              <w:t>本项目风险防范措施依托</w:t>
            </w:r>
            <w:r>
              <w:rPr>
                <w:rFonts w:hint="eastAsia"/>
                <w:color w:val="000000"/>
                <w:sz w:val="24"/>
              </w:rPr>
              <w:t>苏州科技城工业坊</w:t>
            </w:r>
            <w:r>
              <w:rPr>
                <w:color w:val="000000"/>
                <w:sz w:val="24"/>
              </w:rPr>
              <w:t>现有的治理措施，一旦出现事故。</w:t>
            </w:r>
          </w:p>
          <w:p>
            <w:pPr>
              <w:tabs>
                <w:tab w:val="left" w:pos="0"/>
              </w:tabs>
              <w:spacing w:line="360" w:lineRule="auto"/>
              <w:ind w:firstLine="480" w:firstLineChars="200"/>
              <w:jc w:val="left"/>
              <w:rPr>
                <w:color w:val="000000"/>
                <w:sz w:val="24"/>
              </w:rPr>
            </w:pPr>
            <w:r>
              <w:rPr>
                <w:color w:val="000000"/>
                <w:sz w:val="24"/>
              </w:rPr>
              <w:t>七、应急预案</w:t>
            </w:r>
          </w:p>
          <w:p>
            <w:pPr>
              <w:tabs>
                <w:tab w:val="left" w:pos="0"/>
              </w:tabs>
              <w:spacing w:line="360" w:lineRule="auto"/>
              <w:ind w:firstLine="480" w:firstLineChars="200"/>
              <w:jc w:val="left"/>
              <w:rPr>
                <w:color w:val="000000"/>
                <w:sz w:val="24"/>
              </w:rPr>
            </w:pPr>
            <w:r>
              <w:rPr>
                <w:color w:val="000000"/>
                <w:sz w:val="24"/>
              </w:rPr>
              <w:t>环境污染事故的发生主要是由于对风险事故警惕性不高，管理和防范意识欠缺所造成的。因此，本项目建成后，按照《关于做好生态环境和应急管理部门联动工作的意见》（苏环办〔2020〕101号）的相关要求，须加强事故防范措施的宣传教育，严格遵守事故防范措施及安全法律法规的要求开展项目的生产建设，并根据实际生产情况对安全事故隐患进行调查登记，将本项目风险事故发生概率控制在最小范围内。</w:t>
            </w:r>
          </w:p>
          <w:p>
            <w:pPr>
              <w:tabs>
                <w:tab w:val="left" w:pos="0"/>
              </w:tabs>
              <w:spacing w:line="360" w:lineRule="auto"/>
              <w:ind w:firstLine="480" w:firstLineChars="200"/>
              <w:jc w:val="left"/>
              <w:rPr>
                <w:color w:val="000000"/>
                <w:sz w:val="24"/>
              </w:rPr>
            </w:pPr>
            <w:r>
              <w:rPr>
                <w:color w:val="000000"/>
                <w:sz w:val="24"/>
              </w:rPr>
              <w:t>根据国家安全生产监督管理局的相关规定，项目以防止突发性火灾事故发生，并能够在事故发生的情况下，及时、有效地控制和处理事故，把事故可能造成的人员伤亡、环境污染和经济损失降低到最低程度。</w:t>
            </w:r>
          </w:p>
          <w:p>
            <w:pPr>
              <w:tabs>
                <w:tab w:val="left" w:pos="0"/>
              </w:tabs>
              <w:spacing w:line="360" w:lineRule="auto"/>
              <w:ind w:firstLine="480" w:firstLineChars="200"/>
              <w:jc w:val="left"/>
              <w:rPr>
                <w:color w:val="000000"/>
                <w:sz w:val="24"/>
              </w:rPr>
            </w:pPr>
            <w:r>
              <w:rPr>
                <w:color w:val="000000"/>
                <w:sz w:val="24"/>
              </w:rPr>
              <w:t>（1）事故发生后，应根据具体情况采取应急措施，切断泄漏源、火源，控制事故扩大，同时通知中央控制室，根据事故类型、大小启动相应的应急预案；</w:t>
            </w:r>
          </w:p>
          <w:p>
            <w:pPr>
              <w:tabs>
                <w:tab w:val="left" w:pos="0"/>
              </w:tabs>
              <w:spacing w:line="360" w:lineRule="auto"/>
              <w:ind w:firstLine="480" w:firstLineChars="200"/>
              <w:jc w:val="left"/>
              <w:rPr>
                <w:color w:val="000000"/>
                <w:sz w:val="24"/>
              </w:rPr>
            </w:pPr>
            <w:r>
              <w:rPr>
                <w:color w:val="000000"/>
                <w:sz w:val="24"/>
              </w:rPr>
              <w:t>（2）当发生重大事故，应立即上报相关部门，启动社会救援系统，就近地区调拨到专业救援队伍协助处理；</w:t>
            </w:r>
          </w:p>
          <w:p>
            <w:pPr>
              <w:tabs>
                <w:tab w:val="left" w:pos="0"/>
              </w:tabs>
              <w:spacing w:line="360" w:lineRule="auto"/>
              <w:ind w:firstLine="480" w:firstLineChars="200"/>
              <w:jc w:val="left"/>
              <w:rPr>
                <w:color w:val="000000"/>
                <w:sz w:val="24"/>
              </w:rPr>
            </w:pPr>
            <w:r>
              <w:rPr>
                <w:color w:val="000000"/>
                <w:sz w:val="24"/>
              </w:rPr>
              <w:t>（3）事故发生后应立即通知当地环境保护局、医院、自来水公司等部门，协同事故救援与监控。</w:t>
            </w:r>
          </w:p>
          <w:p>
            <w:pPr>
              <w:tabs>
                <w:tab w:val="left" w:pos="0"/>
              </w:tabs>
              <w:wordWrap w:val="0"/>
              <w:spacing w:line="360" w:lineRule="auto"/>
              <w:ind w:firstLine="480" w:firstLineChars="200"/>
              <w:jc w:val="left"/>
              <w:rPr>
                <w:color w:val="000000"/>
                <w:sz w:val="24"/>
              </w:rPr>
            </w:pPr>
            <w:r>
              <w:rPr>
                <w:color w:val="000000"/>
                <w:sz w:val="24"/>
              </w:rPr>
              <w:t>项目建成后，应根据《企事业单位和工业园区突发环境事件应急预案编制导则》（DB32/T3795-2020）要求，编制及报备突发环境事件应急预案。</w:t>
            </w:r>
          </w:p>
          <w:p>
            <w:pPr>
              <w:tabs>
                <w:tab w:val="left" w:pos="0"/>
              </w:tabs>
              <w:spacing w:line="360" w:lineRule="auto"/>
              <w:ind w:firstLine="480" w:firstLineChars="200"/>
              <w:rPr>
                <w:color w:val="000000"/>
                <w:sz w:val="24"/>
              </w:rPr>
            </w:pPr>
            <w:r>
              <w:rPr>
                <w:color w:val="000000"/>
                <w:sz w:val="24"/>
              </w:rPr>
              <w:t>（6）分析结论</w:t>
            </w:r>
          </w:p>
          <w:p>
            <w:pPr>
              <w:tabs>
                <w:tab w:val="left" w:pos="0"/>
              </w:tabs>
              <w:spacing w:line="360" w:lineRule="auto"/>
              <w:ind w:firstLine="480" w:firstLineChars="200"/>
              <w:rPr>
                <w:color w:val="000000"/>
                <w:sz w:val="24"/>
              </w:rPr>
            </w:pPr>
            <w:r>
              <w:rPr>
                <w:color w:val="000000"/>
                <w:sz w:val="24"/>
              </w:rPr>
              <w:t>本项目须加强事故防范措施，严格遵守相关事故防范措施及安全法律法规的要求，安全开展项目的生产建设，并根据实际生产情况对安全事故隐患进行登记。根据相关法律法规，完善、制定防止重大环境污染事故发生的工作计划及应急预案，将本项目风险事故发生概率控制在最小范围内。本项目环境风险潜势为I，在采取相应的风险防范措施和管理后，项目的环境风险是可接受的。</w:t>
            </w:r>
          </w:p>
          <w:p>
            <w:pPr>
              <w:snapToGrid w:val="0"/>
              <w:jc w:val="center"/>
              <w:rPr>
                <w:b/>
                <w:color w:val="000000"/>
                <w:sz w:val="24"/>
              </w:rPr>
            </w:pPr>
            <w:r>
              <w:rPr>
                <w:b/>
                <w:color w:val="000000"/>
                <w:sz w:val="24"/>
              </w:rPr>
              <w:t>表4-32  建设项目环境风险简单分析内容表</w:t>
            </w:r>
          </w:p>
          <w:tbl>
            <w:tblPr>
              <w:tblStyle w:val="20"/>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856"/>
              <w:gridCol w:w="1226"/>
              <w:gridCol w:w="1422"/>
              <w:gridCol w:w="1260"/>
              <w:gridCol w:w="1019"/>
              <w:gridCol w:w="12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exact"/>
                <w:jc w:val="center"/>
              </w:trPr>
              <w:tc>
                <w:tcPr>
                  <w:tcW w:w="1575" w:type="pct"/>
                  <w:vAlign w:val="center"/>
                </w:tcPr>
                <w:p>
                  <w:pPr>
                    <w:tabs>
                      <w:tab w:val="left" w:pos="0"/>
                    </w:tabs>
                    <w:adjustRightInd w:val="0"/>
                    <w:snapToGrid w:val="0"/>
                    <w:jc w:val="center"/>
                    <w:textAlignment w:val="baseline"/>
                    <w:rPr>
                      <w:b/>
                      <w:bCs/>
                      <w:color w:val="000000"/>
                      <w:spacing w:val="4"/>
                      <w:szCs w:val="21"/>
                    </w:rPr>
                  </w:pPr>
                  <w:r>
                    <w:rPr>
                      <w:b/>
                      <w:bCs/>
                      <w:color w:val="000000"/>
                      <w:spacing w:val="4"/>
                      <w:szCs w:val="21"/>
                    </w:rPr>
                    <w:t>建设项目名称</w:t>
                  </w:r>
                </w:p>
              </w:tc>
              <w:tc>
                <w:tcPr>
                  <w:tcW w:w="3424" w:type="pct"/>
                  <w:gridSpan w:val="5"/>
                  <w:vAlign w:val="center"/>
                </w:tcPr>
                <w:p>
                  <w:pPr>
                    <w:tabs>
                      <w:tab w:val="left" w:pos="0"/>
                    </w:tabs>
                    <w:adjustRightInd w:val="0"/>
                    <w:snapToGrid w:val="0"/>
                    <w:jc w:val="center"/>
                    <w:textAlignment w:val="baseline"/>
                    <w:rPr>
                      <w:color w:val="000000"/>
                      <w:spacing w:val="4"/>
                      <w:szCs w:val="21"/>
                    </w:rPr>
                  </w:pPr>
                  <w:r>
                    <w:rPr>
                      <w:rFonts w:hint="eastAsia"/>
                      <w:color w:val="000000"/>
                      <w:spacing w:val="4"/>
                      <w:szCs w:val="21"/>
                    </w:rPr>
                    <w:t>赛晶（江苏）视觉技术有限公司年产工业相机、人脸识别终端及智能机器人感知模组200万台新建项目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exact"/>
                <w:jc w:val="center"/>
              </w:trPr>
              <w:tc>
                <w:tcPr>
                  <w:tcW w:w="1575" w:type="pct"/>
                  <w:vAlign w:val="center"/>
                </w:tcPr>
                <w:p>
                  <w:pPr>
                    <w:tabs>
                      <w:tab w:val="left" w:pos="0"/>
                    </w:tabs>
                    <w:adjustRightInd w:val="0"/>
                    <w:snapToGrid w:val="0"/>
                    <w:jc w:val="center"/>
                    <w:textAlignment w:val="baseline"/>
                    <w:rPr>
                      <w:b/>
                      <w:bCs/>
                      <w:color w:val="000000"/>
                      <w:spacing w:val="4"/>
                      <w:szCs w:val="21"/>
                    </w:rPr>
                  </w:pPr>
                  <w:r>
                    <w:rPr>
                      <w:b/>
                      <w:bCs/>
                      <w:color w:val="000000"/>
                      <w:spacing w:val="4"/>
                      <w:szCs w:val="21"/>
                    </w:rPr>
                    <w:t>建设地点</w:t>
                  </w:r>
                </w:p>
              </w:tc>
              <w:tc>
                <w:tcPr>
                  <w:tcW w:w="676"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（江苏）省</w:t>
                  </w:r>
                </w:p>
              </w:tc>
              <w:tc>
                <w:tcPr>
                  <w:tcW w:w="784"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（苏州）市</w:t>
                  </w:r>
                </w:p>
              </w:tc>
              <w:tc>
                <w:tcPr>
                  <w:tcW w:w="695"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（高新）区</w:t>
                  </w:r>
                </w:p>
              </w:tc>
              <w:tc>
                <w:tcPr>
                  <w:tcW w:w="562"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（/）县</w:t>
                  </w:r>
                </w:p>
              </w:tc>
              <w:tc>
                <w:tcPr>
                  <w:tcW w:w="704"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（/）园区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exact"/>
                <w:jc w:val="center"/>
              </w:trPr>
              <w:tc>
                <w:tcPr>
                  <w:tcW w:w="1575" w:type="pct"/>
                  <w:vAlign w:val="center"/>
                </w:tcPr>
                <w:p>
                  <w:pPr>
                    <w:tabs>
                      <w:tab w:val="left" w:pos="0"/>
                    </w:tabs>
                    <w:adjustRightInd w:val="0"/>
                    <w:snapToGrid w:val="0"/>
                    <w:jc w:val="center"/>
                    <w:textAlignment w:val="baseline"/>
                    <w:rPr>
                      <w:b/>
                      <w:bCs/>
                      <w:color w:val="000000"/>
                      <w:spacing w:val="4"/>
                      <w:szCs w:val="21"/>
                    </w:rPr>
                  </w:pPr>
                  <w:r>
                    <w:rPr>
                      <w:b/>
                      <w:bCs/>
                      <w:color w:val="000000"/>
                      <w:spacing w:val="4"/>
                      <w:szCs w:val="21"/>
                    </w:rPr>
                    <w:t>地理坐标</w:t>
                  </w:r>
                </w:p>
              </w:tc>
              <w:tc>
                <w:tcPr>
                  <w:tcW w:w="676" w:type="pct"/>
                  <w:vAlign w:val="center"/>
                </w:tcPr>
                <w:p>
                  <w:pPr>
                    <w:tabs>
                      <w:tab w:val="left" w:pos="0"/>
                    </w:tabs>
                    <w:adjustRightInd w:val="0"/>
                    <w:snapToGrid w:val="0"/>
                    <w:jc w:val="center"/>
                    <w:textAlignment w:val="baseline"/>
                    <w:rPr>
                      <w:color w:val="000000"/>
                      <w:spacing w:val="4"/>
                      <w:szCs w:val="21"/>
                    </w:rPr>
                  </w:pPr>
                  <w:r>
                    <w:rPr>
                      <w:color w:val="000000"/>
                      <w:spacing w:val="4"/>
                      <w:szCs w:val="21"/>
                    </w:rPr>
                    <w:t>经度</w:t>
                  </w:r>
                </w:p>
              </w:tc>
              <w:tc>
                <w:tcPr>
                  <w:tcW w:w="784" w:type="pct"/>
                  <w:vAlign w:val="center"/>
                </w:tcPr>
                <w:p>
                  <w:pPr>
                    <w:tabs>
                      <w:tab w:val="left" w:pos="0"/>
                    </w:tabs>
                    <w:jc w:val="center"/>
                    <w:rPr>
                      <w:color w:val="000000"/>
                      <w:spacing w:val="4"/>
                      <w:kern w:val="0"/>
                      <w:szCs w:val="21"/>
                    </w:rPr>
                  </w:pPr>
                  <w:r>
                    <w:rPr>
                      <w:color w:val="000000"/>
                      <w:spacing w:val="4"/>
                      <w:kern w:val="0"/>
                      <w:szCs w:val="21"/>
                    </w:rPr>
                    <w:t>120.45</w:t>
                  </w:r>
                  <w:r>
                    <w:rPr>
                      <w:rFonts w:hint="eastAsia"/>
                      <w:color w:val="000000"/>
                      <w:spacing w:val="4"/>
                      <w:kern w:val="0"/>
                      <w:szCs w:val="21"/>
                    </w:rPr>
                    <w:t>29</w:t>
                  </w:r>
                </w:p>
              </w:tc>
              <w:tc>
                <w:tcPr>
                  <w:tcW w:w="695" w:type="pct"/>
                  <w:vAlign w:val="center"/>
                </w:tcPr>
                <w:p>
                  <w:pPr>
                    <w:tabs>
                      <w:tab w:val="left" w:pos="0"/>
                    </w:tabs>
                    <w:jc w:val="center"/>
                    <w:rPr>
                      <w:color w:val="000000"/>
                      <w:spacing w:val="4"/>
                      <w:kern w:val="0"/>
                      <w:szCs w:val="21"/>
                    </w:rPr>
                  </w:pPr>
                  <w:r>
                    <w:rPr>
                      <w:rFonts w:hint="eastAsia"/>
                      <w:color w:val="000000"/>
                      <w:spacing w:val="4"/>
                      <w:kern w:val="0"/>
                      <w:szCs w:val="21"/>
                    </w:rPr>
                    <w:t>纬度</w:t>
                  </w:r>
                </w:p>
              </w:tc>
              <w:tc>
                <w:tcPr>
                  <w:tcW w:w="1267" w:type="pct"/>
                  <w:gridSpan w:val="2"/>
                  <w:vAlign w:val="center"/>
                </w:tcPr>
                <w:p>
                  <w:pPr>
                    <w:tabs>
                      <w:tab w:val="left" w:pos="0"/>
                    </w:tabs>
                    <w:adjustRightInd w:val="0"/>
                    <w:snapToGrid w:val="0"/>
                    <w:jc w:val="center"/>
                    <w:textAlignment w:val="baseline"/>
                    <w:rPr>
                      <w:color w:val="000000"/>
                      <w:spacing w:val="4"/>
                      <w:szCs w:val="21"/>
                    </w:rPr>
                  </w:pPr>
                  <w:r>
                    <w:rPr>
                      <w:color w:val="000000"/>
                      <w:spacing w:val="4"/>
                      <w:kern w:val="0"/>
                      <w:szCs w:val="21"/>
                    </w:rPr>
                    <w:t>31.385</w:t>
                  </w:r>
                  <w:r>
                    <w:rPr>
                      <w:rFonts w:hint="eastAsia"/>
                      <w:color w:val="000000"/>
                      <w:spacing w:val="4"/>
                      <w:kern w:val="0"/>
                      <w:szCs w:val="21"/>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exact"/>
                <w:jc w:val="center"/>
              </w:trPr>
              <w:tc>
                <w:tcPr>
                  <w:tcW w:w="1575" w:type="pct"/>
                  <w:vAlign w:val="center"/>
                </w:tcPr>
                <w:p>
                  <w:pPr>
                    <w:tabs>
                      <w:tab w:val="left" w:pos="0"/>
                    </w:tabs>
                    <w:adjustRightInd w:val="0"/>
                    <w:snapToGrid w:val="0"/>
                    <w:jc w:val="center"/>
                    <w:textAlignment w:val="baseline"/>
                    <w:rPr>
                      <w:b/>
                      <w:bCs/>
                      <w:color w:val="000000"/>
                      <w:spacing w:val="4"/>
                      <w:szCs w:val="21"/>
                    </w:rPr>
                  </w:pPr>
                  <w:r>
                    <w:rPr>
                      <w:b/>
                      <w:bCs/>
                      <w:color w:val="000000"/>
                      <w:spacing w:val="4"/>
                      <w:szCs w:val="21"/>
                    </w:rPr>
                    <w:t>主要危险物质及分布</w:t>
                  </w:r>
                </w:p>
              </w:tc>
              <w:tc>
                <w:tcPr>
                  <w:tcW w:w="3424" w:type="pct"/>
                  <w:gridSpan w:val="5"/>
                  <w:vAlign w:val="center"/>
                </w:tcPr>
                <w:p>
                  <w:pPr>
                    <w:tabs>
                      <w:tab w:val="left" w:pos="0"/>
                    </w:tabs>
                    <w:adjustRightInd w:val="0"/>
                    <w:snapToGrid w:val="0"/>
                    <w:ind w:firstLine="436" w:firstLineChars="200"/>
                    <w:jc w:val="center"/>
                    <w:textAlignment w:val="baseline"/>
                    <w:rPr>
                      <w:color w:val="000000"/>
                      <w:spacing w:val="4"/>
                      <w:szCs w:val="21"/>
                    </w:rPr>
                  </w:pPr>
                  <w:r>
                    <w:rPr>
                      <w:color w:val="000000"/>
                      <w:spacing w:val="4"/>
                      <w:szCs w:val="21"/>
                    </w:rPr>
                    <w:t>详见表4-28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exact"/>
                <w:jc w:val="center"/>
              </w:trPr>
              <w:tc>
                <w:tcPr>
                  <w:tcW w:w="1575" w:type="pct"/>
                  <w:vAlign w:val="center"/>
                </w:tcPr>
                <w:p>
                  <w:pPr>
                    <w:tabs>
                      <w:tab w:val="left" w:pos="0"/>
                    </w:tabs>
                    <w:adjustRightInd w:val="0"/>
                    <w:snapToGrid w:val="0"/>
                    <w:jc w:val="center"/>
                    <w:textAlignment w:val="baseline"/>
                    <w:rPr>
                      <w:b/>
                      <w:bCs/>
                      <w:color w:val="000000"/>
                      <w:spacing w:val="4"/>
                      <w:szCs w:val="21"/>
                    </w:rPr>
                  </w:pPr>
                  <w:r>
                    <w:rPr>
                      <w:b/>
                      <w:bCs/>
                      <w:color w:val="000000"/>
                      <w:spacing w:val="4"/>
                      <w:szCs w:val="21"/>
                    </w:rPr>
                    <w:t>环境影响途径及危害后果</w:t>
                  </w:r>
                </w:p>
                <w:p>
                  <w:pPr>
                    <w:tabs>
                      <w:tab w:val="left" w:pos="0"/>
                    </w:tabs>
                    <w:adjustRightInd w:val="0"/>
                    <w:snapToGrid w:val="0"/>
                    <w:jc w:val="left"/>
                    <w:textAlignment w:val="baseline"/>
                    <w:rPr>
                      <w:b/>
                      <w:bCs/>
                      <w:color w:val="000000"/>
                      <w:spacing w:val="4"/>
                      <w:szCs w:val="21"/>
                    </w:rPr>
                  </w:pPr>
                  <w:r>
                    <w:rPr>
                      <w:b/>
                      <w:bCs/>
                      <w:color w:val="000000"/>
                      <w:spacing w:val="4"/>
                      <w:szCs w:val="21"/>
                    </w:rPr>
                    <w:t>（大气、地表水、地下水等）</w:t>
                  </w:r>
                </w:p>
              </w:tc>
              <w:tc>
                <w:tcPr>
                  <w:tcW w:w="3424" w:type="pct"/>
                  <w:gridSpan w:val="5"/>
                  <w:vAlign w:val="center"/>
                </w:tcPr>
                <w:p>
                  <w:pPr>
                    <w:tabs>
                      <w:tab w:val="left" w:pos="0"/>
                    </w:tabs>
                    <w:adjustRightInd w:val="0"/>
                    <w:snapToGrid w:val="0"/>
                    <w:jc w:val="center"/>
                    <w:textAlignment w:val="baseline"/>
                    <w:rPr>
                      <w:color w:val="000000"/>
                      <w:spacing w:val="4"/>
                      <w:szCs w:val="21"/>
                    </w:rPr>
                  </w:pPr>
                  <w:r>
                    <w:rPr>
                      <w:color w:val="000000"/>
                      <w:spacing w:val="4"/>
                      <w:szCs w:val="21"/>
                    </w:rPr>
                    <w:t>风险物质泄漏、火灾、爆炸引起的大气污染物扩散对周围大气环境的影响，继而对人群健康造成影响；原辅料化学试剂及危废泄露会对项目所在地地下水及土壤环境造成影响。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6" w:hRule="exact"/>
                <w:jc w:val="center"/>
              </w:trPr>
              <w:tc>
                <w:tcPr>
                  <w:tcW w:w="1575" w:type="pct"/>
                  <w:vAlign w:val="center"/>
                </w:tcPr>
                <w:p>
                  <w:pPr>
                    <w:tabs>
                      <w:tab w:val="left" w:pos="0"/>
                    </w:tabs>
                    <w:adjustRightInd w:val="0"/>
                    <w:snapToGrid w:val="0"/>
                    <w:jc w:val="center"/>
                    <w:textAlignment w:val="baseline"/>
                    <w:rPr>
                      <w:b/>
                      <w:bCs/>
                      <w:color w:val="000000"/>
                      <w:spacing w:val="4"/>
                      <w:szCs w:val="21"/>
                    </w:rPr>
                  </w:pPr>
                  <w:r>
                    <w:rPr>
                      <w:b/>
                      <w:bCs/>
                      <w:color w:val="000000"/>
                      <w:spacing w:val="4"/>
                      <w:szCs w:val="21"/>
                    </w:rPr>
                    <w:t>风险防范措施要求</w:t>
                  </w:r>
                </w:p>
              </w:tc>
              <w:tc>
                <w:tcPr>
                  <w:tcW w:w="3424" w:type="pct"/>
                  <w:gridSpan w:val="5"/>
                  <w:vAlign w:val="center"/>
                </w:tcPr>
                <w:p>
                  <w:pPr>
                    <w:spacing w:line="360" w:lineRule="atLeast"/>
                    <w:ind w:firstLine="436" w:firstLineChars="200"/>
                    <w:jc w:val="left"/>
                    <w:rPr>
                      <w:color w:val="000000"/>
                      <w:sz w:val="18"/>
                      <w:szCs w:val="21"/>
                    </w:rPr>
                  </w:pPr>
                  <w:r>
                    <w:rPr>
                      <w:color w:val="000000"/>
                      <w:spacing w:val="4"/>
                      <w:szCs w:val="21"/>
                    </w:rPr>
                    <w:t>本项目应组建安全环保管理机构，配备管理人员，通过技能培训，承担公司运行中的环保安全工作。安全环保机构将根据相关的环境管理要求，结合高新区具体情况，制定公司的各项安全生产管理制度、严格的生产操作规则和完善的事故应急计划及相应的应急处理手段和设施，同时加强安全教育，以提高职工的安全意识和安全防范能力。</w:t>
                  </w:r>
                </w:p>
                <w:p>
                  <w:pPr>
                    <w:tabs>
                      <w:tab w:val="left" w:pos="0"/>
                    </w:tabs>
                    <w:adjustRightInd w:val="0"/>
                    <w:snapToGrid w:val="0"/>
                    <w:jc w:val="center"/>
                    <w:textAlignment w:val="baseline"/>
                    <w:rPr>
                      <w:color w:val="000000"/>
                      <w:spacing w:val="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exact"/>
                <w:jc w:val="center"/>
              </w:trPr>
              <w:tc>
                <w:tcPr>
                  <w:tcW w:w="5000" w:type="pct"/>
                  <w:gridSpan w:val="6"/>
                  <w:vAlign w:val="center"/>
                </w:tcPr>
                <w:p>
                  <w:pPr>
                    <w:tabs>
                      <w:tab w:val="left" w:pos="0"/>
                    </w:tabs>
                    <w:adjustRightInd w:val="0"/>
                    <w:snapToGrid w:val="0"/>
                    <w:jc w:val="left"/>
                    <w:textAlignment w:val="baseline"/>
                    <w:rPr>
                      <w:color w:val="000000"/>
                      <w:spacing w:val="-5"/>
                      <w:szCs w:val="21"/>
                    </w:rPr>
                  </w:pPr>
                  <w:r>
                    <w:rPr>
                      <w:color w:val="000000"/>
                      <w:spacing w:val="4"/>
                      <w:szCs w:val="21"/>
                    </w:rPr>
                    <w:t>填表说明（列出项目相关信息及评价说明）：项目主要风险物质使用量较小，风险潜势为I，仅做简单分析</w:t>
                  </w:r>
                </w:p>
              </w:tc>
            </w:tr>
          </w:tbl>
          <w:p>
            <w:pPr>
              <w:jc w:val="center"/>
              <w:rPr>
                <w:rFonts w:ascii="宋体" w:hAnsi="宋体" w:cs="宋体"/>
                <w:b/>
                <w:bCs/>
                <w:color w:val="000000"/>
                <w:szCs w:val="21"/>
              </w:rPr>
            </w:pPr>
            <w:r>
              <w:rPr>
                <w:b/>
                <w:bCs/>
                <w:color w:val="000000"/>
                <w:szCs w:val="21"/>
              </w:rPr>
              <w:t>表</w:t>
            </w:r>
            <w:r>
              <w:rPr>
                <w:rFonts w:hint="eastAsia"/>
                <w:b/>
                <w:bCs/>
                <w:color w:val="000000"/>
                <w:szCs w:val="21"/>
              </w:rPr>
              <w:t>4-33</w:t>
            </w:r>
            <w:r>
              <w:rPr>
                <w:b/>
                <w:bCs/>
                <w:color w:val="000000"/>
                <w:szCs w:val="21"/>
              </w:rPr>
              <w:t>环</w:t>
            </w:r>
            <w:r>
              <w:rPr>
                <w:rFonts w:hint="eastAsia" w:ascii="宋体" w:hAnsi="宋体" w:cs="宋体"/>
                <w:b/>
                <w:bCs/>
                <w:color w:val="000000"/>
                <w:szCs w:val="21"/>
              </w:rPr>
              <w:t>境风险评价自查表</w:t>
            </w:r>
          </w:p>
          <w:tbl>
            <w:tblPr>
              <w:tblStyle w:val="20"/>
              <w:tblW w:w="90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65"/>
              <w:gridCol w:w="1283"/>
              <w:gridCol w:w="1299"/>
              <w:gridCol w:w="1208"/>
              <w:gridCol w:w="638"/>
              <w:gridCol w:w="54"/>
              <w:gridCol w:w="739"/>
              <w:gridCol w:w="658"/>
              <w:gridCol w:w="118"/>
              <w:gridCol w:w="15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4" w:type="dxa"/>
                  <w:gridSpan w:val="3"/>
                  <w:vAlign w:val="center"/>
                </w:tcPr>
                <w:p>
                  <w:pPr>
                    <w:jc w:val="center"/>
                    <w:rPr>
                      <w:color w:val="000000"/>
                      <w:sz w:val="18"/>
                      <w:szCs w:val="21"/>
                    </w:rPr>
                  </w:pPr>
                  <w:r>
                    <w:rPr>
                      <w:color w:val="000000"/>
                      <w:sz w:val="18"/>
                      <w:szCs w:val="21"/>
                    </w:rPr>
                    <w:t>工作内容</w:t>
                  </w:r>
                </w:p>
              </w:tc>
              <w:tc>
                <w:tcPr>
                  <w:tcW w:w="6305" w:type="dxa"/>
                  <w:gridSpan w:val="8"/>
                  <w:vAlign w:val="center"/>
                </w:tcPr>
                <w:p>
                  <w:pPr>
                    <w:jc w:val="center"/>
                    <w:rPr>
                      <w:color w:val="000000"/>
                      <w:sz w:val="18"/>
                      <w:szCs w:val="21"/>
                    </w:rPr>
                  </w:pPr>
                  <w:r>
                    <w:rPr>
                      <w:color w:val="000000"/>
                      <w:sz w:val="18"/>
                      <w:szCs w:val="21"/>
                    </w:rPr>
                    <w:t>完成情况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restart"/>
                  <w:vAlign w:val="center"/>
                </w:tcPr>
                <w:p>
                  <w:pPr>
                    <w:jc w:val="center"/>
                    <w:rPr>
                      <w:color w:val="000000"/>
                      <w:sz w:val="18"/>
                      <w:szCs w:val="21"/>
                    </w:rPr>
                  </w:pPr>
                  <w:r>
                    <w:rPr>
                      <w:color w:val="000000"/>
                      <w:sz w:val="18"/>
                      <w:szCs w:val="21"/>
                    </w:rPr>
                    <w:t>风险调查</w:t>
                  </w:r>
                </w:p>
              </w:tc>
              <w:tc>
                <w:tcPr>
                  <w:tcW w:w="1065" w:type="dxa"/>
                  <w:vMerge w:val="restart"/>
                  <w:vAlign w:val="center"/>
                </w:tcPr>
                <w:p>
                  <w:pPr>
                    <w:jc w:val="center"/>
                    <w:rPr>
                      <w:color w:val="000000"/>
                      <w:sz w:val="18"/>
                      <w:szCs w:val="21"/>
                    </w:rPr>
                  </w:pPr>
                  <w:r>
                    <w:rPr>
                      <w:color w:val="000000"/>
                      <w:sz w:val="18"/>
                      <w:szCs w:val="21"/>
                    </w:rPr>
                    <w:t>危险物质</w:t>
                  </w:r>
                </w:p>
              </w:tc>
              <w:tc>
                <w:tcPr>
                  <w:tcW w:w="1283" w:type="dxa"/>
                  <w:vAlign w:val="center"/>
                </w:tcPr>
                <w:p>
                  <w:pPr>
                    <w:jc w:val="center"/>
                    <w:rPr>
                      <w:color w:val="000000"/>
                      <w:sz w:val="18"/>
                      <w:szCs w:val="21"/>
                    </w:rPr>
                  </w:pPr>
                  <w:r>
                    <w:rPr>
                      <w:color w:val="000000"/>
                      <w:sz w:val="18"/>
                      <w:szCs w:val="21"/>
                    </w:rPr>
                    <w:t>名称</w:t>
                  </w:r>
                </w:p>
              </w:tc>
              <w:tc>
                <w:tcPr>
                  <w:tcW w:w="1299" w:type="dxa"/>
                  <w:vAlign w:val="center"/>
                </w:tcPr>
                <w:p>
                  <w:pPr>
                    <w:jc w:val="center"/>
                    <w:rPr>
                      <w:color w:val="000000"/>
                      <w:sz w:val="18"/>
                      <w:szCs w:val="21"/>
                    </w:rPr>
                  </w:pPr>
                  <w:r>
                    <w:rPr>
                      <w:rFonts w:hint="eastAsia"/>
                      <w:color w:val="000000"/>
                      <w:sz w:val="18"/>
                      <w:szCs w:val="21"/>
                      <w:lang w:eastAsia="zh-CN"/>
                    </w:rPr>
                    <w:t>网版</w:t>
                  </w:r>
                  <w:r>
                    <w:rPr>
                      <w:rFonts w:hint="eastAsia"/>
                      <w:color w:val="000000"/>
                      <w:sz w:val="18"/>
                      <w:szCs w:val="21"/>
                    </w:rPr>
                    <w:t>清洗剂</w:t>
                  </w:r>
                </w:p>
              </w:tc>
              <w:tc>
                <w:tcPr>
                  <w:tcW w:w="1900" w:type="dxa"/>
                  <w:gridSpan w:val="3"/>
                  <w:vAlign w:val="center"/>
                </w:tcPr>
                <w:p>
                  <w:pPr>
                    <w:jc w:val="center"/>
                    <w:rPr>
                      <w:color w:val="000000"/>
                      <w:sz w:val="18"/>
                      <w:szCs w:val="21"/>
                    </w:rPr>
                  </w:pPr>
                  <w:r>
                    <w:rPr>
                      <w:rFonts w:hint="eastAsia"/>
                      <w:color w:val="000000"/>
                      <w:sz w:val="18"/>
                      <w:szCs w:val="21"/>
                      <w:lang w:eastAsia="zh-CN"/>
                    </w:rPr>
                    <w:t>网版</w:t>
                  </w:r>
                  <w:r>
                    <w:rPr>
                      <w:rFonts w:hint="eastAsia"/>
                      <w:color w:val="000000"/>
                      <w:sz w:val="18"/>
                      <w:szCs w:val="21"/>
                    </w:rPr>
                    <w:t>清洗废液</w:t>
                  </w:r>
                </w:p>
              </w:tc>
              <w:tc>
                <w:tcPr>
                  <w:tcW w:w="1397" w:type="dxa"/>
                  <w:gridSpan w:val="2"/>
                  <w:vAlign w:val="center"/>
                </w:tcPr>
                <w:p>
                  <w:pPr>
                    <w:jc w:val="center"/>
                    <w:rPr>
                      <w:color w:val="000000"/>
                      <w:sz w:val="18"/>
                      <w:szCs w:val="21"/>
                    </w:rPr>
                  </w:pPr>
                  <w:r>
                    <w:rPr>
                      <w:rFonts w:hint="eastAsia"/>
                      <w:color w:val="000000"/>
                      <w:sz w:val="18"/>
                      <w:szCs w:val="21"/>
                    </w:rPr>
                    <w:t>三防漆清洗剂</w:t>
                  </w:r>
                </w:p>
              </w:tc>
              <w:tc>
                <w:tcPr>
                  <w:tcW w:w="1709" w:type="dxa"/>
                  <w:gridSpan w:val="2"/>
                  <w:vAlign w:val="center"/>
                </w:tcPr>
                <w:p>
                  <w:pPr>
                    <w:jc w:val="center"/>
                    <w:rPr>
                      <w:color w:val="000000"/>
                      <w:sz w:val="18"/>
                      <w:szCs w:val="21"/>
                    </w:rPr>
                  </w:pPr>
                  <w:r>
                    <w:rPr>
                      <w:rFonts w:hint="eastAsia"/>
                      <w:color w:val="000000"/>
                      <w:sz w:val="18"/>
                      <w:szCs w:val="21"/>
                    </w:rPr>
                    <w:t>三防漆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74"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Align w:val="center"/>
                </w:tcPr>
                <w:p>
                  <w:pPr>
                    <w:jc w:val="center"/>
                    <w:rPr>
                      <w:color w:val="000000"/>
                      <w:sz w:val="18"/>
                      <w:szCs w:val="21"/>
                    </w:rPr>
                  </w:pPr>
                  <w:r>
                    <w:rPr>
                      <w:color w:val="000000"/>
                      <w:sz w:val="18"/>
                      <w:szCs w:val="21"/>
                    </w:rPr>
                    <w:t>存在总量/t</w:t>
                  </w:r>
                </w:p>
              </w:tc>
              <w:tc>
                <w:tcPr>
                  <w:tcW w:w="1299" w:type="dxa"/>
                  <w:vAlign w:val="center"/>
                </w:tcPr>
                <w:p>
                  <w:pPr>
                    <w:jc w:val="center"/>
                    <w:rPr>
                      <w:color w:val="000000"/>
                      <w:sz w:val="18"/>
                      <w:szCs w:val="21"/>
                    </w:rPr>
                  </w:pPr>
                  <w:r>
                    <w:rPr>
                      <w:rFonts w:hint="eastAsia"/>
                      <w:color w:val="000000"/>
                      <w:sz w:val="18"/>
                      <w:szCs w:val="21"/>
                    </w:rPr>
                    <w:t>0.1</w:t>
                  </w:r>
                </w:p>
              </w:tc>
              <w:tc>
                <w:tcPr>
                  <w:tcW w:w="1900" w:type="dxa"/>
                  <w:gridSpan w:val="3"/>
                  <w:vAlign w:val="center"/>
                </w:tcPr>
                <w:p>
                  <w:pPr>
                    <w:jc w:val="center"/>
                    <w:rPr>
                      <w:color w:val="000000"/>
                      <w:sz w:val="18"/>
                      <w:szCs w:val="21"/>
                    </w:rPr>
                  </w:pPr>
                  <w:r>
                    <w:rPr>
                      <w:rFonts w:hint="eastAsia"/>
                      <w:color w:val="000000"/>
                      <w:sz w:val="18"/>
                      <w:szCs w:val="21"/>
                    </w:rPr>
                    <w:t>0.06</w:t>
                  </w:r>
                </w:p>
              </w:tc>
              <w:tc>
                <w:tcPr>
                  <w:tcW w:w="1397" w:type="dxa"/>
                  <w:gridSpan w:val="2"/>
                  <w:vAlign w:val="center"/>
                </w:tcPr>
                <w:p>
                  <w:pPr>
                    <w:jc w:val="center"/>
                    <w:rPr>
                      <w:color w:val="000000"/>
                      <w:sz w:val="18"/>
                      <w:szCs w:val="21"/>
                    </w:rPr>
                  </w:pPr>
                  <w:r>
                    <w:rPr>
                      <w:rFonts w:hint="eastAsia"/>
                      <w:color w:val="000000"/>
                      <w:sz w:val="18"/>
                      <w:szCs w:val="21"/>
                    </w:rPr>
                    <w:t>0.1</w:t>
                  </w:r>
                </w:p>
              </w:tc>
              <w:tc>
                <w:tcPr>
                  <w:tcW w:w="1709" w:type="dxa"/>
                  <w:gridSpan w:val="2"/>
                  <w:vAlign w:val="center"/>
                </w:tcPr>
                <w:p>
                  <w:pPr>
                    <w:jc w:val="center"/>
                    <w:rPr>
                      <w:color w:val="000000"/>
                      <w:sz w:val="18"/>
                      <w:szCs w:val="21"/>
                    </w:rPr>
                  </w:pPr>
                  <w:r>
                    <w:rPr>
                      <w:rFonts w:hint="eastAsia"/>
                      <w:color w:val="000000"/>
                      <w:sz w:val="18"/>
                      <w:szCs w:val="21"/>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restart"/>
                  <w:vAlign w:val="center"/>
                </w:tcPr>
                <w:p>
                  <w:pPr>
                    <w:jc w:val="center"/>
                    <w:rPr>
                      <w:color w:val="000000"/>
                      <w:sz w:val="18"/>
                      <w:szCs w:val="21"/>
                    </w:rPr>
                  </w:pPr>
                  <w:r>
                    <w:rPr>
                      <w:color w:val="000000"/>
                      <w:sz w:val="18"/>
                      <w:szCs w:val="21"/>
                    </w:rPr>
                    <w:t>环境敏感性</w:t>
                  </w:r>
                </w:p>
              </w:tc>
              <w:tc>
                <w:tcPr>
                  <w:tcW w:w="1283" w:type="dxa"/>
                  <w:vMerge w:val="restart"/>
                  <w:vAlign w:val="center"/>
                </w:tcPr>
                <w:p>
                  <w:pPr>
                    <w:jc w:val="center"/>
                    <w:rPr>
                      <w:color w:val="000000"/>
                      <w:sz w:val="18"/>
                      <w:szCs w:val="21"/>
                    </w:rPr>
                  </w:pPr>
                  <w:r>
                    <w:rPr>
                      <w:color w:val="000000"/>
                      <w:sz w:val="18"/>
                      <w:szCs w:val="21"/>
                    </w:rPr>
                    <w:t>大气</w:t>
                  </w:r>
                </w:p>
              </w:tc>
              <w:tc>
                <w:tcPr>
                  <w:tcW w:w="3145" w:type="dxa"/>
                  <w:gridSpan w:val="3"/>
                  <w:vAlign w:val="center"/>
                </w:tcPr>
                <w:p>
                  <w:pPr>
                    <w:jc w:val="center"/>
                    <w:rPr>
                      <w:color w:val="000000"/>
                      <w:sz w:val="18"/>
                      <w:szCs w:val="21"/>
                    </w:rPr>
                  </w:pPr>
                  <w:r>
                    <w:rPr>
                      <w:color w:val="000000"/>
                      <w:sz w:val="18"/>
                      <w:szCs w:val="21"/>
                    </w:rPr>
                    <w:t>500m范围内人口数</w:t>
                  </w:r>
                  <w:r>
                    <w:rPr>
                      <w:color w:val="000000"/>
                      <w:sz w:val="18"/>
                      <w:szCs w:val="21"/>
                      <w:u w:val="single"/>
                    </w:rPr>
                    <w:t xml:space="preserve">  </w:t>
                  </w:r>
                  <w:r>
                    <w:rPr>
                      <w:rFonts w:hint="eastAsia"/>
                      <w:color w:val="000000"/>
                      <w:sz w:val="18"/>
                      <w:szCs w:val="21"/>
                      <w:u w:val="single"/>
                    </w:rPr>
                    <w:t>-</w:t>
                  </w:r>
                  <w:r>
                    <w:rPr>
                      <w:color w:val="000000"/>
                      <w:sz w:val="18"/>
                      <w:szCs w:val="21"/>
                      <w:u w:val="single"/>
                    </w:rPr>
                    <w:t xml:space="preserve">  </w:t>
                  </w:r>
                  <w:r>
                    <w:rPr>
                      <w:color w:val="000000"/>
                      <w:sz w:val="18"/>
                      <w:szCs w:val="21"/>
                    </w:rPr>
                    <w:t>人</w:t>
                  </w:r>
                </w:p>
              </w:tc>
              <w:tc>
                <w:tcPr>
                  <w:tcW w:w="3160" w:type="dxa"/>
                  <w:gridSpan w:val="5"/>
                  <w:vAlign w:val="center"/>
                </w:tcPr>
                <w:p>
                  <w:pPr>
                    <w:jc w:val="center"/>
                    <w:rPr>
                      <w:color w:val="000000"/>
                      <w:sz w:val="18"/>
                      <w:szCs w:val="21"/>
                    </w:rPr>
                  </w:pPr>
                  <w:r>
                    <w:rPr>
                      <w:color w:val="000000"/>
                      <w:sz w:val="18"/>
                      <w:szCs w:val="21"/>
                    </w:rPr>
                    <w:t>5km范围内人口数</w:t>
                  </w:r>
                  <w:r>
                    <w:rPr>
                      <w:color w:val="000000"/>
                      <w:sz w:val="18"/>
                      <w:szCs w:val="21"/>
                      <w:u w:val="single"/>
                    </w:rPr>
                    <w:t xml:space="preserve"> </w:t>
                  </w:r>
                  <w:r>
                    <w:rPr>
                      <w:rFonts w:hint="eastAsia"/>
                      <w:color w:val="000000"/>
                      <w:sz w:val="18"/>
                      <w:szCs w:val="21"/>
                      <w:u w:val="single"/>
                    </w:rPr>
                    <w:t>60000</w:t>
                  </w:r>
                  <w:r>
                    <w:rPr>
                      <w:color w:val="000000"/>
                      <w:sz w:val="18"/>
                      <w:szCs w:val="21"/>
                      <w:u w:val="single"/>
                    </w:rPr>
                    <w:t xml:space="preserve"> </w:t>
                  </w:r>
                  <w:r>
                    <w:rPr>
                      <w:color w:val="000000"/>
                      <w:sz w:val="18"/>
                      <w:szCs w:val="21"/>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Merge w:val="continue"/>
                  <w:vAlign w:val="center"/>
                </w:tcPr>
                <w:p>
                  <w:pPr>
                    <w:jc w:val="center"/>
                    <w:rPr>
                      <w:color w:val="000000"/>
                      <w:sz w:val="18"/>
                      <w:szCs w:val="21"/>
                    </w:rPr>
                  </w:pPr>
                </w:p>
              </w:tc>
              <w:tc>
                <w:tcPr>
                  <w:tcW w:w="4714" w:type="dxa"/>
                  <w:gridSpan w:val="7"/>
                  <w:vAlign w:val="center"/>
                </w:tcPr>
                <w:p>
                  <w:pPr>
                    <w:jc w:val="center"/>
                    <w:rPr>
                      <w:color w:val="000000"/>
                      <w:sz w:val="18"/>
                      <w:szCs w:val="21"/>
                    </w:rPr>
                  </w:pPr>
                  <w:r>
                    <w:rPr>
                      <w:color w:val="000000"/>
                      <w:sz w:val="18"/>
                      <w:szCs w:val="21"/>
                    </w:rPr>
                    <w:t>每公里管段周边200m范围内人口数（最大）</w:t>
                  </w:r>
                </w:p>
              </w:tc>
              <w:tc>
                <w:tcPr>
                  <w:tcW w:w="1591" w:type="dxa"/>
                  <w:vAlign w:val="center"/>
                </w:tcPr>
                <w:p>
                  <w:pPr>
                    <w:jc w:val="center"/>
                    <w:rPr>
                      <w:color w:val="000000"/>
                      <w:sz w:val="18"/>
                      <w:szCs w:val="21"/>
                    </w:rPr>
                  </w:pPr>
                  <w:r>
                    <w:rPr>
                      <w:color w:val="000000"/>
                      <w:sz w:val="18"/>
                      <w:szCs w:val="21"/>
                      <w:u w:val="single"/>
                    </w:rPr>
                    <w:t xml:space="preserve"> </w:t>
                  </w:r>
                  <w:r>
                    <w:rPr>
                      <w:rFonts w:hint="eastAsia"/>
                      <w:color w:val="000000"/>
                      <w:sz w:val="18"/>
                      <w:szCs w:val="21"/>
                      <w:u w:val="single"/>
                    </w:rPr>
                    <w:t>-</w:t>
                  </w:r>
                  <w:r>
                    <w:rPr>
                      <w:color w:val="000000"/>
                      <w:sz w:val="18"/>
                      <w:szCs w:val="21"/>
                      <w:u w:val="single"/>
                    </w:rPr>
                    <w:t xml:space="preserve"> </w:t>
                  </w:r>
                  <w:r>
                    <w:rPr>
                      <w:color w:val="000000"/>
                      <w:sz w:val="18"/>
                      <w:szCs w:val="21"/>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Merge w:val="restart"/>
                  <w:vAlign w:val="center"/>
                </w:tcPr>
                <w:p>
                  <w:pPr>
                    <w:jc w:val="center"/>
                    <w:rPr>
                      <w:color w:val="000000"/>
                      <w:sz w:val="18"/>
                      <w:szCs w:val="21"/>
                    </w:rPr>
                  </w:pPr>
                  <w:r>
                    <w:rPr>
                      <w:color w:val="000000"/>
                      <w:sz w:val="18"/>
                      <w:szCs w:val="21"/>
                    </w:rPr>
                    <w:t>地表水</w:t>
                  </w:r>
                </w:p>
              </w:tc>
              <w:tc>
                <w:tcPr>
                  <w:tcW w:w="1299" w:type="dxa"/>
                  <w:vAlign w:val="center"/>
                </w:tcPr>
                <w:p>
                  <w:pPr>
                    <w:jc w:val="center"/>
                    <w:rPr>
                      <w:color w:val="000000"/>
                      <w:sz w:val="18"/>
                      <w:szCs w:val="21"/>
                    </w:rPr>
                  </w:pPr>
                  <w:r>
                    <w:rPr>
                      <w:color w:val="000000"/>
                      <w:sz w:val="18"/>
                      <w:szCs w:val="21"/>
                    </w:rPr>
                    <w:t>地表水功能敏感性</w:t>
                  </w:r>
                </w:p>
              </w:tc>
              <w:tc>
                <w:tcPr>
                  <w:tcW w:w="1846" w:type="dxa"/>
                  <w:gridSpan w:val="2"/>
                  <w:vAlign w:val="center"/>
                </w:tcPr>
                <w:p>
                  <w:pPr>
                    <w:jc w:val="center"/>
                    <w:rPr>
                      <w:color w:val="000000"/>
                      <w:sz w:val="18"/>
                      <w:szCs w:val="21"/>
                    </w:rPr>
                  </w:pPr>
                  <w:r>
                    <w:rPr>
                      <w:color w:val="000000"/>
                      <w:sz w:val="18"/>
                      <w:szCs w:val="21"/>
                    </w:rPr>
                    <w:t xml:space="preserve">F1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F2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 xml:space="preserve">F3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Merge w:val="continue"/>
                  <w:vAlign w:val="center"/>
                </w:tcPr>
                <w:p>
                  <w:pPr>
                    <w:jc w:val="center"/>
                    <w:rPr>
                      <w:color w:val="000000"/>
                      <w:sz w:val="18"/>
                      <w:szCs w:val="21"/>
                    </w:rPr>
                  </w:pPr>
                </w:p>
              </w:tc>
              <w:tc>
                <w:tcPr>
                  <w:tcW w:w="1299" w:type="dxa"/>
                  <w:vAlign w:val="center"/>
                </w:tcPr>
                <w:p>
                  <w:pPr>
                    <w:jc w:val="center"/>
                    <w:rPr>
                      <w:color w:val="000000"/>
                      <w:sz w:val="18"/>
                      <w:szCs w:val="21"/>
                    </w:rPr>
                  </w:pPr>
                  <w:r>
                    <w:rPr>
                      <w:color w:val="000000"/>
                      <w:sz w:val="18"/>
                      <w:szCs w:val="21"/>
                    </w:rPr>
                    <w:t>环境敏感目标分级</w:t>
                  </w:r>
                </w:p>
              </w:tc>
              <w:tc>
                <w:tcPr>
                  <w:tcW w:w="1846" w:type="dxa"/>
                  <w:gridSpan w:val="2"/>
                  <w:vAlign w:val="center"/>
                </w:tcPr>
                <w:p>
                  <w:pPr>
                    <w:jc w:val="center"/>
                    <w:rPr>
                      <w:color w:val="000000"/>
                      <w:sz w:val="18"/>
                      <w:szCs w:val="21"/>
                    </w:rPr>
                  </w:pPr>
                  <w:r>
                    <w:rPr>
                      <w:color w:val="000000"/>
                      <w:sz w:val="18"/>
                      <w:szCs w:val="21"/>
                    </w:rPr>
                    <w:t xml:space="preserve">S1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S2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 xml:space="preserve">S3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Merge w:val="restart"/>
                  <w:vAlign w:val="center"/>
                </w:tcPr>
                <w:p>
                  <w:pPr>
                    <w:jc w:val="center"/>
                    <w:rPr>
                      <w:color w:val="000000"/>
                      <w:sz w:val="18"/>
                      <w:szCs w:val="21"/>
                    </w:rPr>
                  </w:pPr>
                  <w:r>
                    <w:rPr>
                      <w:color w:val="000000"/>
                      <w:sz w:val="18"/>
                      <w:szCs w:val="21"/>
                    </w:rPr>
                    <w:t>地下水</w:t>
                  </w:r>
                </w:p>
              </w:tc>
              <w:tc>
                <w:tcPr>
                  <w:tcW w:w="1299" w:type="dxa"/>
                  <w:vAlign w:val="center"/>
                </w:tcPr>
                <w:p>
                  <w:pPr>
                    <w:jc w:val="center"/>
                    <w:rPr>
                      <w:color w:val="000000"/>
                      <w:sz w:val="18"/>
                      <w:szCs w:val="21"/>
                    </w:rPr>
                  </w:pPr>
                  <w:r>
                    <w:rPr>
                      <w:color w:val="000000"/>
                      <w:sz w:val="18"/>
                      <w:szCs w:val="21"/>
                    </w:rPr>
                    <w:t>地下水功能敏感性</w:t>
                  </w:r>
                </w:p>
              </w:tc>
              <w:tc>
                <w:tcPr>
                  <w:tcW w:w="1846" w:type="dxa"/>
                  <w:gridSpan w:val="2"/>
                  <w:vAlign w:val="center"/>
                </w:tcPr>
                <w:p>
                  <w:pPr>
                    <w:jc w:val="center"/>
                    <w:rPr>
                      <w:color w:val="000000"/>
                      <w:sz w:val="18"/>
                      <w:szCs w:val="21"/>
                    </w:rPr>
                  </w:pPr>
                  <w:r>
                    <w:rPr>
                      <w:color w:val="000000"/>
                      <w:sz w:val="18"/>
                      <w:szCs w:val="21"/>
                    </w:rPr>
                    <w:t xml:space="preserve">G1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G2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 xml:space="preserve">G3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Merge w:val="continue"/>
                  <w:vAlign w:val="center"/>
                </w:tcPr>
                <w:p>
                  <w:pPr>
                    <w:jc w:val="center"/>
                    <w:rPr>
                      <w:color w:val="000000"/>
                      <w:sz w:val="18"/>
                      <w:szCs w:val="21"/>
                    </w:rPr>
                  </w:pPr>
                </w:p>
              </w:tc>
              <w:tc>
                <w:tcPr>
                  <w:tcW w:w="1299" w:type="dxa"/>
                  <w:vAlign w:val="center"/>
                </w:tcPr>
                <w:p>
                  <w:pPr>
                    <w:jc w:val="center"/>
                    <w:rPr>
                      <w:color w:val="000000"/>
                      <w:sz w:val="18"/>
                      <w:szCs w:val="21"/>
                    </w:rPr>
                  </w:pPr>
                  <w:r>
                    <w:rPr>
                      <w:color w:val="000000"/>
                      <w:sz w:val="18"/>
                      <w:szCs w:val="21"/>
                    </w:rPr>
                    <w:t>包气带防污性能</w:t>
                  </w:r>
                </w:p>
              </w:tc>
              <w:tc>
                <w:tcPr>
                  <w:tcW w:w="1846" w:type="dxa"/>
                  <w:gridSpan w:val="2"/>
                  <w:vAlign w:val="center"/>
                </w:tcPr>
                <w:p>
                  <w:pPr>
                    <w:jc w:val="center"/>
                    <w:rPr>
                      <w:color w:val="000000"/>
                      <w:sz w:val="18"/>
                      <w:szCs w:val="21"/>
                    </w:rPr>
                  </w:pPr>
                  <w:r>
                    <w:rPr>
                      <w:color w:val="000000"/>
                      <w:sz w:val="18"/>
                      <w:szCs w:val="21"/>
                    </w:rPr>
                    <w:t xml:space="preserve">D1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D2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 xml:space="preserve">D3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Merge w:val="restart"/>
                  <w:vAlign w:val="center"/>
                </w:tcPr>
                <w:p>
                  <w:pPr>
                    <w:jc w:val="center"/>
                    <w:rPr>
                      <w:color w:val="000000"/>
                      <w:sz w:val="18"/>
                      <w:szCs w:val="21"/>
                    </w:rPr>
                  </w:pPr>
                  <w:r>
                    <w:rPr>
                      <w:color w:val="000000"/>
                      <w:sz w:val="18"/>
                      <w:szCs w:val="21"/>
                    </w:rPr>
                    <w:t>物质及工艺系统危险性</w:t>
                  </w:r>
                </w:p>
              </w:tc>
              <w:tc>
                <w:tcPr>
                  <w:tcW w:w="1283" w:type="dxa"/>
                  <w:vAlign w:val="center"/>
                </w:tcPr>
                <w:p>
                  <w:pPr>
                    <w:jc w:val="center"/>
                    <w:rPr>
                      <w:color w:val="000000"/>
                      <w:sz w:val="18"/>
                      <w:szCs w:val="21"/>
                    </w:rPr>
                  </w:pPr>
                  <w:r>
                    <w:rPr>
                      <w:color w:val="000000"/>
                      <w:sz w:val="18"/>
                      <w:szCs w:val="21"/>
                    </w:rPr>
                    <w:t>Q值</w:t>
                  </w:r>
                </w:p>
              </w:tc>
              <w:tc>
                <w:tcPr>
                  <w:tcW w:w="1299" w:type="dxa"/>
                  <w:vAlign w:val="center"/>
                </w:tcPr>
                <w:p>
                  <w:pPr>
                    <w:jc w:val="center"/>
                    <w:rPr>
                      <w:color w:val="000000"/>
                      <w:sz w:val="18"/>
                      <w:szCs w:val="21"/>
                    </w:rPr>
                  </w:pPr>
                  <w:r>
                    <w:rPr>
                      <w:color w:val="000000"/>
                      <w:sz w:val="18"/>
                      <w:szCs w:val="21"/>
                    </w:rPr>
                    <w:t>Q&lt;1 √</w:t>
                  </w:r>
                </w:p>
              </w:tc>
              <w:tc>
                <w:tcPr>
                  <w:tcW w:w="1846" w:type="dxa"/>
                  <w:gridSpan w:val="2"/>
                  <w:vAlign w:val="center"/>
                </w:tcPr>
                <w:p>
                  <w:pPr>
                    <w:jc w:val="center"/>
                    <w:rPr>
                      <w:color w:val="000000"/>
                      <w:sz w:val="18"/>
                      <w:szCs w:val="21"/>
                    </w:rPr>
                  </w:pPr>
                  <w:r>
                    <w:rPr>
                      <w:color w:val="000000"/>
                      <w:sz w:val="18"/>
                      <w:szCs w:val="21"/>
                    </w:rPr>
                    <w:t xml:space="preserve">1≤Q&lt;10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10≤Q&lt;100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 xml:space="preserve">Q&gt;100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Merge w:val="continue"/>
                  <w:vAlign w:val="center"/>
                </w:tcPr>
                <w:p>
                  <w:pPr>
                    <w:jc w:val="center"/>
                    <w:rPr>
                      <w:color w:val="000000"/>
                      <w:sz w:val="18"/>
                      <w:szCs w:val="21"/>
                    </w:rPr>
                  </w:pPr>
                </w:p>
              </w:tc>
              <w:tc>
                <w:tcPr>
                  <w:tcW w:w="1283" w:type="dxa"/>
                  <w:vAlign w:val="center"/>
                </w:tcPr>
                <w:p>
                  <w:pPr>
                    <w:jc w:val="center"/>
                    <w:rPr>
                      <w:color w:val="000000"/>
                      <w:sz w:val="18"/>
                      <w:szCs w:val="21"/>
                    </w:rPr>
                  </w:pPr>
                  <w:r>
                    <w:rPr>
                      <w:color w:val="000000"/>
                      <w:sz w:val="18"/>
                      <w:szCs w:val="21"/>
                    </w:rPr>
                    <w:t>M值</w:t>
                  </w:r>
                </w:p>
              </w:tc>
              <w:tc>
                <w:tcPr>
                  <w:tcW w:w="1299" w:type="dxa"/>
                  <w:vAlign w:val="center"/>
                </w:tcPr>
                <w:p>
                  <w:pPr>
                    <w:jc w:val="center"/>
                    <w:rPr>
                      <w:color w:val="000000"/>
                      <w:sz w:val="18"/>
                      <w:szCs w:val="21"/>
                    </w:rPr>
                  </w:pPr>
                  <w:r>
                    <w:rPr>
                      <w:color w:val="000000"/>
                      <w:sz w:val="18"/>
                      <w:szCs w:val="21"/>
                    </w:rPr>
                    <w:t xml:space="preserve">M1 </w:t>
                  </w:r>
                  <w:r>
                    <w:rPr>
                      <w:color w:val="000000"/>
                      <w:sz w:val="18"/>
                      <w:szCs w:val="21"/>
                    </w:rPr>
                    <w:sym w:font="Wingdings 2" w:char="00A3"/>
                  </w:r>
                </w:p>
              </w:tc>
              <w:tc>
                <w:tcPr>
                  <w:tcW w:w="1846" w:type="dxa"/>
                  <w:gridSpan w:val="2"/>
                  <w:vAlign w:val="center"/>
                </w:tcPr>
                <w:p>
                  <w:pPr>
                    <w:jc w:val="center"/>
                    <w:rPr>
                      <w:color w:val="000000"/>
                      <w:sz w:val="18"/>
                      <w:szCs w:val="21"/>
                    </w:rPr>
                  </w:pPr>
                  <w:r>
                    <w:rPr>
                      <w:color w:val="000000"/>
                      <w:sz w:val="18"/>
                      <w:szCs w:val="21"/>
                    </w:rPr>
                    <w:t xml:space="preserve">M2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M3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 xml:space="preserve">M4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Merge w:val="continue"/>
                  <w:vAlign w:val="center"/>
                </w:tcPr>
                <w:p>
                  <w:pPr>
                    <w:jc w:val="center"/>
                    <w:rPr>
                      <w:color w:val="000000"/>
                      <w:sz w:val="18"/>
                      <w:szCs w:val="21"/>
                    </w:rPr>
                  </w:pPr>
                </w:p>
              </w:tc>
              <w:tc>
                <w:tcPr>
                  <w:tcW w:w="1283" w:type="dxa"/>
                  <w:vAlign w:val="center"/>
                </w:tcPr>
                <w:p>
                  <w:pPr>
                    <w:jc w:val="center"/>
                    <w:rPr>
                      <w:color w:val="000000"/>
                      <w:sz w:val="18"/>
                      <w:szCs w:val="21"/>
                    </w:rPr>
                  </w:pPr>
                  <w:r>
                    <w:rPr>
                      <w:color w:val="000000"/>
                      <w:sz w:val="18"/>
                      <w:szCs w:val="21"/>
                    </w:rPr>
                    <w:t>P值</w:t>
                  </w:r>
                </w:p>
              </w:tc>
              <w:tc>
                <w:tcPr>
                  <w:tcW w:w="1299" w:type="dxa"/>
                  <w:vAlign w:val="center"/>
                </w:tcPr>
                <w:p>
                  <w:pPr>
                    <w:jc w:val="center"/>
                    <w:rPr>
                      <w:color w:val="000000"/>
                      <w:sz w:val="18"/>
                      <w:szCs w:val="21"/>
                    </w:rPr>
                  </w:pPr>
                  <w:r>
                    <w:rPr>
                      <w:color w:val="000000"/>
                      <w:sz w:val="18"/>
                      <w:szCs w:val="21"/>
                    </w:rPr>
                    <w:t xml:space="preserve">P1 </w:t>
                  </w:r>
                  <w:r>
                    <w:rPr>
                      <w:color w:val="000000"/>
                      <w:sz w:val="18"/>
                      <w:szCs w:val="21"/>
                    </w:rPr>
                    <w:sym w:font="Wingdings 2" w:char="00A3"/>
                  </w:r>
                </w:p>
              </w:tc>
              <w:tc>
                <w:tcPr>
                  <w:tcW w:w="1846" w:type="dxa"/>
                  <w:gridSpan w:val="2"/>
                  <w:vAlign w:val="center"/>
                </w:tcPr>
                <w:p>
                  <w:pPr>
                    <w:jc w:val="center"/>
                    <w:rPr>
                      <w:color w:val="000000"/>
                      <w:sz w:val="18"/>
                      <w:szCs w:val="21"/>
                    </w:rPr>
                  </w:pPr>
                  <w:r>
                    <w:rPr>
                      <w:color w:val="000000"/>
                      <w:sz w:val="18"/>
                      <w:szCs w:val="21"/>
                    </w:rPr>
                    <w:t xml:space="preserve">P2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P3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 xml:space="preserve">P4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Merge w:val="restart"/>
                  <w:vAlign w:val="center"/>
                </w:tcPr>
                <w:p>
                  <w:pPr>
                    <w:jc w:val="center"/>
                    <w:rPr>
                      <w:color w:val="000000"/>
                      <w:sz w:val="18"/>
                      <w:szCs w:val="21"/>
                    </w:rPr>
                  </w:pPr>
                  <w:r>
                    <w:rPr>
                      <w:color w:val="000000"/>
                      <w:sz w:val="18"/>
                      <w:szCs w:val="21"/>
                    </w:rPr>
                    <w:t>环境敏感</w:t>
                  </w:r>
                </w:p>
                <w:p>
                  <w:pPr>
                    <w:jc w:val="center"/>
                    <w:rPr>
                      <w:color w:val="000000"/>
                      <w:sz w:val="18"/>
                      <w:szCs w:val="21"/>
                    </w:rPr>
                  </w:pPr>
                  <w:r>
                    <w:rPr>
                      <w:color w:val="000000"/>
                      <w:sz w:val="18"/>
                      <w:szCs w:val="21"/>
                    </w:rPr>
                    <w:t>程度</w:t>
                  </w:r>
                </w:p>
              </w:tc>
              <w:tc>
                <w:tcPr>
                  <w:tcW w:w="1283" w:type="dxa"/>
                  <w:vAlign w:val="center"/>
                </w:tcPr>
                <w:p>
                  <w:pPr>
                    <w:jc w:val="center"/>
                    <w:rPr>
                      <w:color w:val="000000"/>
                      <w:sz w:val="18"/>
                      <w:szCs w:val="21"/>
                    </w:rPr>
                  </w:pPr>
                  <w:r>
                    <w:rPr>
                      <w:color w:val="000000"/>
                      <w:sz w:val="18"/>
                      <w:szCs w:val="21"/>
                    </w:rPr>
                    <w:t>大气</w:t>
                  </w:r>
                </w:p>
              </w:tc>
              <w:tc>
                <w:tcPr>
                  <w:tcW w:w="1299" w:type="dxa"/>
                  <w:vAlign w:val="center"/>
                </w:tcPr>
                <w:p>
                  <w:pPr>
                    <w:jc w:val="center"/>
                    <w:rPr>
                      <w:color w:val="000000"/>
                      <w:sz w:val="18"/>
                      <w:szCs w:val="21"/>
                    </w:rPr>
                  </w:pPr>
                  <w:r>
                    <w:rPr>
                      <w:color w:val="000000"/>
                      <w:sz w:val="18"/>
                      <w:szCs w:val="21"/>
                    </w:rPr>
                    <w:t xml:space="preserve">E1 </w:t>
                  </w:r>
                  <w:r>
                    <w:rPr>
                      <w:color w:val="000000"/>
                      <w:sz w:val="18"/>
                      <w:szCs w:val="21"/>
                    </w:rPr>
                    <w:sym w:font="Wingdings 2" w:char="0052"/>
                  </w:r>
                </w:p>
              </w:tc>
              <w:tc>
                <w:tcPr>
                  <w:tcW w:w="2639" w:type="dxa"/>
                  <w:gridSpan w:val="4"/>
                  <w:vAlign w:val="center"/>
                </w:tcPr>
                <w:p>
                  <w:pPr>
                    <w:jc w:val="center"/>
                    <w:rPr>
                      <w:color w:val="000000"/>
                      <w:sz w:val="18"/>
                      <w:szCs w:val="21"/>
                    </w:rPr>
                  </w:pPr>
                  <w:r>
                    <w:rPr>
                      <w:color w:val="000000"/>
                      <w:sz w:val="18"/>
                      <w:szCs w:val="21"/>
                    </w:rPr>
                    <w:t xml:space="preserve">E2 </w:t>
                  </w:r>
                  <w:r>
                    <w:rPr>
                      <w:color w:val="000000"/>
                      <w:sz w:val="18"/>
                      <w:szCs w:val="21"/>
                    </w:rPr>
                    <w:sym w:font="Wingdings 2" w:char="00A3"/>
                  </w:r>
                </w:p>
              </w:tc>
              <w:tc>
                <w:tcPr>
                  <w:tcW w:w="2367" w:type="dxa"/>
                  <w:gridSpan w:val="3"/>
                  <w:vAlign w:val="center"/>
                </w:tcPr>
                <w:p>
                  <w:pPr>
                    <w:jc w:val="center"/>
                    <w:rPr>
                      <w:color w:val="000000"/>
                      <w:sz w:val="18"/>
                      <w:szCs w:val="21"/>
                    </w:rPr>
                  </w:pPr>
                  <w:r>
                    <w:rPr>
                      <w:color w:val="000000"/>
                      <w:sz w:val="18"/>
                      <w:szCs w:val="21"/>
                    </w:rPr>
                    <w:t xml:space="preserve">E3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Merge w:val="continue"/>
                  <w:vAlign w:val="center"/>
                </w:tcPr>
                <w:p>
                  <w:pPr>
                    <w:jc w:val="center"/>
                    <w:rPr>
                      <w:color w:val="000000"/>
                      <w:sz w:val="18"/>
                      <w:szCs w:val="21"/>
                    </w:rPr>
                  </w:pPr>
                </w:p>
              </w:tc>
              <w:tc>
                <w:tcPr>
                  <w:tcW w:w="1283" w:type="dxa"/>
                  <w:vAlign w:val="center"/>
                </w:tcPr>
                <w:p>
                  <w:pPr>
                    <w:jc w:val="center"/>
                    <w:rPr>
                      <w:color w:val="000000"/>
                      <w:sz w:val="18"/>
                      <w:szCs w:val="21"/>
                    </w:rPr>
                  </w:pPr>
                  <w:r>
                    <w:rPr>
                      <w:color w:val="000000"/>
                      <w:sz w:val="18"/>
                      <w:szCs w:val="21"/>
                    </w:rPr>
                    <w:t>地表水</w:t>
                  </w:r>
                </w:p>
              </w:tc>
              <w:tc>
                <w:tcPr>
                  <w:tcW w:w="1299" w:type="dxa"/>
                  <w:vAlign w:val="center"/>
                </w:tcPr>
                <w:p>
                  <w:pPr>
                    <w:jc w:val="center"/>
                    <w:rPr>
                      <w:color w:val="000000"/>
                      <w:sz w:val="18"/>
                      <w:szCs w:val="21"/>
                    </w:rPr>
                  </w:pPr>
                  <w:r>
                    <w:rPr>
                      <w:color w:val="000000"/>
                      <w:sz w:val="18"/>
                      <w:szCs w:val="21"/>
                    </w:rPr>
                    <w:t xml:space="preserve">E1 </w:t>
                  </w:r>
                  <w:r>
                    <w:rPr>
                      <w:color w:val="000000"/>
                      <w:sz w:val="18"/>
                      <w:szCs w:val="21"/>
                    </w:rPr>
                    <w:sym w:font="Wingdings 2" w:char="00A3"/>
                  </w:r>
                </w:p>
              </w:tc>
              <w:tc>
                <w:tcPr>
                  <w:tcW w:w="2639" w:type="dxa"/>
                  <w:gridSpan w:val="4"/>
                  <w:vAlign w:val="center"/>
                </w:tcPr>
                <w:p>
                  <w:pPr>
                    <w:jc w:val="center"/>
                    <w:rPr>
                      <w:color w:val="000000"/>
                      <w:sz w:val="18"/>
                      <w:szCs w:val="21"/>
                    </w:rPr>
                  </w:pPr>
                  <w:r>
                    <w:rPr>
                      <w:color w:val="000000"/>
                      <w:sz w:val="18"/>
                      <w:szCs w:val="21"/>
                    </w:rPr>
                    <w:t xml:space="preserve">E2 </w:t>
                  </w:r>
                  <w:r>
                    <w:rPr>
                      <w:color w:val="000000"/>
                      <w:sz w:val="18"/>
                      <w:szCs w:val="21"/>
                    </w:rPr>
                    <w:sym w:font="Wingdings 2" w:char="00A3"/>
                  </w:r>
                </w:p>
              </w:tc>
              <w:tc>
                <w:tcPr>
                  <w:tcW w:w="2367" w:type="dxa"/>
                  <w:gridSpan w:val="3"/>
                  <w:vAlign w:val="center"/>
                </w:tcPr>
                <w:p>
                  <w:pPr>
                    <w:jc w:val="center"/>
                    <w:rPr>
                      <w:color w:val="000000"/>
                      <w:sz w:val="18"/>
                      <w:szCs w:val="21"/>
                    </w:rPr>
                  </w:pPr>
                  <w:r>
                    <w:rPr>
                      <w:color w:val="000000"/>
                      <w:sz w:val="18"/>
                      <w:szCs w:val="21"/>
                    </w:rPr>
                    <w:t xml:space="preserve">E3 </w:t>
                  </w:r>
                  <w:r>
                    <w:rPr>
                      <w:color w:val="000000"/>
                      <w:sz w:val="18"/>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Merge w:val="continue"/>
                  <w:vAlign w:val="center"/>
                </w:tcPr>
                <w:p>
                  <w:pPr>
                    <w:jc w:val="center"/>
                    <w:rPr>
                      <w:color w:val="000000"/>
                      <w:sz w:val="18"/>
                      <w:szCs w:val="21"/>
                    </w:rPr>
                  </w:pPr>
                </w:p>
              </w:tc>
              <w:tc>
                <w:tcPr>
                  <w:tcW w:w="1283" w:type="dxa"/>
                  <w:vAlign w:val="center"/>
                </w:tcPr>
                <w:p>
                  <w:pPr>
                    <w:jc w:val="center"/>
                    <w:rPr>
                      <w:color w:val="000000"/>
                      <w:sz w:val="18"/>
                      <w:szCs w:val="21"/>
                    </w:rPr>
                  </w:pPr>
                  <w:r>
                    <w:rPr>
                      <w:color w:val="000000"/>
                      <w:sz w:val="18"/>
                      <w:szCs w:val="21"/>
                    </w:rPr>
                    <w:t>地下水</w:t>
                  </w:r>
                </w:p>
              </w:tc>
              <w:tc>
                <w:tcPr>
                  <w:tcW w:w="1299" w:type="dxa"/>
                  <w:vAlign w:val="center"/>
                </w:tcPr>
                <w:p>
                  <w:pPr>
                    <w:jc w:val="center"/>
                    <w:rPr>
                      <w:color w:val="000000"/>
                      <w:sz w:val="18"/>
                      <w:szCs w:val="21"/>
                    </w:rPr>
                  </w:pPr>
                  <w:r>
                    <w:rPr>
                      <w:color w:val="000000"/>
                      <w:sz w:val="18"/>
                      <w:szCs w:val="21"/>
                    </w:rPr>
                    <w:t xml:space="preserve">E1 </w:t>
                  </w:r>
                  <w:r>
                    <w:rPr>
                      <w:color w:val="000000"/>
                      <w:sz w:val="18"/>
                      <w:szCs w:val="21"/>
                    </w:rPr>
                    <w:sym w:font="Wingdings 2" w:char="00A3"/>
                  </w:r>
                </w:p>
              </w:tc>
              <w:tc>
                <w:tcPr>
                  <w:tcW w:w="2639" w:type="dxa"/>
                  <w:gridSpan w:val="4"/>
                  <w:vAlign w:val="center"/>
                </w:tcPr>
                <w:p>
                  <w:pPr>
                    <w:jc w:val="center"/>
                    <w:rPr>
                      <w:color w:val="000000"/>
                      <w:sz w:val="18"/>
                      <w:szCs w:val="21"/>
                    </w:rPr>
                  </w:pPr>
                  <w:r>
                    <w:rPr>
                      <w:color w:val="000000"/>
                      <w:sz w:val="18"/>
                      <w:szCs w:val="21"/>
                    </w:rPr>
                    <w:t xml:space="preserve">E2 </w:t>
                  </w:r>
                  <w:r>
                    <w:rPr>
                      <w:color w:val="000000"/>
                      <w:sz w:val="18"/>
                      <w:szCs w:val="21"/>
                    </w:rPr>
                    <w:sym w:font="Wingdings 2" w:char="00A3"/>
                  </w:r>
                </w:p>
              </w:tc>
              <w:tc>
                <w:tcPr>
                  <w:tcW w:w="2367" w:type="dxa"/>
                  <w:gridSpan w:val="3"/>
                  <w:vAlign w:val="center"/>
                </w:tcPr>
                <w:p>
                  <w:pPr>
                    <w:jc w:val="center"/>
                    <w:rPr>
                      <w:color w:val="000000"/>
                      <w:sz w:val="18"/>
                      <w:szCs w:val="21"/>
                    </w:rPr>
                  </w:pPr>
                  <w:r>
                    <w:rPr>
                      <w:color w:val="000000"/>
                      <w:sz w:val="18"/>
                      <w:szCs w:val="21"/>
                    </w:rPr>
                    <w:t xml:space="preserve">E3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Align w:val="center"/>
                </w:tcPr>
                <w:p>
                  <w:pPr>
                    <w:jc w:val="center"/>
                    <w:rPr>
                      <w:color w:val="000000"/>
                      <w:sz w:val="18"/>
                      <w:szCs w:val="21"/>
                    </w:rPr>
                  </w:pPr>
                  <w:r>
                    <w:rPr>
                      <w:color w:val="000000"/>
                      <w:sz w:val="18"/>
                      <w:szCs w:val="21"/>
                    </w:rPr>
                    <w:t>环境风险潜势</w:t>
                  </w:r>
                </w:p>
              </w:tc>
              <w:tc>
                <w:tcPr>
                  <w:tcW w:w="1283" w:type="dxa"/>
                  <w:vAlign w:val="center"/>
                </w:tcPr>
                <w:p>
                  <w:pPr>
                    <w:jc w:val="center"/>
                    <w:rPr>
                      <w:color w:val="000000"/>
                      <w:sz w:val="18"/>
                      <w:szCs w:val="21"/>
                    </w:rPr>
                  </w:pPr>
                  <w:r>
                    <w:rPr>
                      <w:rFonts w:hint="eastAsia" w:ascii="宋体" w:hAnsi="宋体" w:cs="宋体"/>
                      <w:color w:val="000000"/>
                      <w:sz w:val="18"/>
                      <w:szCs w:val="21"/>
                    </w:rPr>
                    <w:t>Ⅳ</w:t>
                  </w:r>
                  <w:r>
                    <w:rPr>
                      <w:color w:val="000000"/>
                      <w:sz w:val="18"/>
                      <w:szCs w:val="21"/>
                      <w:vertAlign w:val="superscript"/>
                    </w:rPr>
                    <w:t>+</w:t>
                  </w:r>
                  <w:r>
                    <w:rPr>
                      <w:color w:val="000000"/>
                      <w:sz w:val="18"/>
                      <w:szCs w:val="21"/>
                    </w:rPr>
                    <w:t xml:space="preserve"> </w:t>
                  </w:r>
                  <w:r>
                    <w:rPr>
                      <w:color w:val="000000"/>
                      <w:sz w:val="18"/>
                      <w:szCs w:val="21"/>
                    </w:rPr>
                    <w:sym w:font="Wingdings 2" w:char="00A3"/>
                  </w:r>
                </w:p>
              </w:tc>
              <w:tc>
                <w:tcPr>
                  <w:tcW w:w="1299" w:type="dxa"/>
                  <w:vAlign w:val="center"/>
                </w:tcPr>
                <w:p>
                  <w:pPr>
                    <w:jc w:val="center"/>
                    <w:rPr>
                      <w:color w:val="000000"/>
                      <w:sz w:val="18"/>
                      <w:szCs w:val="21"/>
                    </w:rPr>
                  </w:pPr>
                  <w:r>
                    <w:rPr>
                      <w:rFonts w:hint="eastAsia" w:ascii="宋体" w:hAnsi="宋体" w:cs="宋体"/>
                      <w:color w:val="000000"/>
                      <w:sz w:val="18"/>
                      <w:szCs w:val="21"/>
                    </w:rPr>
                    <w:t>Ⅳ</w:t>
                  </w:r>
                  <w:r>
                    <w:rPr>
                      <w:color w:val="000000"/>
                      <w:sz w:val="18"/>
                      <w:szCs w:val="21"/>
                    </w:rPr>
                    <w:t xml:space="preserve"> </w:t>
                  </w:r>
                  <w:r>
                    <w:rPr>
                      <w:color w:val="000000"/>
                      <w:sz w:val="18"/>
                      <w:szCs w:val="21"/>
                    </w:rPr>
                    <w:sym w:font="Wingdings 2" w:char="00A3"/>
                  </w:r>
                </w:p>
              </w:tc>
              <w:tc>
                <w:tcPr>
                  <w:tcW w:w="1846" w:type="dxa"/>
                  <w:gridSpan w:val="2"/>
                  <w:vAlign w:val="center"/>
                </w:tcPr>
                <w:p>
                  <w:pPr>
                    <w:jc w:val="center"/>
                    <w:rPr>
                      <w:color w:val="000000"/>
                      <w:sz w:val="18"/>
                      <w:szCs w:val="21"/>
                    </w:rPr>
                  </w:pPr>
                  <w:r>
                    <w:rPr>
                      <w:rFonts w:hint="eastAsia" w:ascii="宋体" w:hAnsi="宋体" w:cs="宋体"/>
                      <w:color w:val="000000"/>
                      <w:sz w:val="18"/>
                      <w:szCs w:val="21"/>
                    </w:rPr>
                    <w:t>Ⅲ</w:t>
                  </w:r>
                  <w:r>
                    <w:rPr>
                      <w:color w:val="000000"/>
                      <w:sz w:val="18"/>
                      <w:szCs w:val="21"/>
                    </w:rPr>
                    <w:t xml:space="preserve"> </w:t>
                  </w:r>
                  <w:r>
                    <w:rPr>
                      <w:color w:val="000000"/>
                      <w:sz w:val="18"/>
                      <w:szCs w:val="21"/>
                    </w:rPr>
                    <w:sym w:font="Wingdings 2" w:char="00A3"/>
                  </w:r>
                </w:p>
              </w:tc>
              <w:tc>
                <w:tcPr>
                  <w:tcW w:w="1569" w:type="dxa"/>
                  <w:gridSpan w:val="4"/>
                  <w:vAlign w:val="center"/>
                </w:tcPr>
                <w:p>
                  <w:pPr>
                    <w:jc w:val="center"/>
                    <w:rPr>
                      <w:color w:val="000000"/>
                      <w:sz w:val="18"/>
                      <w:szCs w:val="21"/>
                    </w:rPr>
                  </w:pPr>
                  <w:r>
                    <w:rPr>
                      <w:rFonts w:hint="eastAsia" w:ascii="宋体" w:hAnsi="宋体" w:cs="宋体"/>
                      <w:color w:val="000000"/>
                      <w:sz w:val="18"/>
                      <w:szCs w:val="21"/>
                    </w:rPr>
                    <w:t>Ⅱ</w:t>
                  </w:r>
                  <w:r>
                    <w:rPr>
                      <w:color w:val="000000"/>
                      <w:sz w:val="18"/>
                      <w:szCs w:val="21"/>
                    </w:rPr>
                    <w:t xml:space="preserve"> </w:t>
                  </w:r>
                  <w:r>
                    <w:rPr>
                      <w:color w:val="000000"/>
                      <w:sz w:val="18"/>
                      <w:szCs w:val="21"/>
                    </w:rPr>
                    <w:sym w:font="Wingdings 2" w:char="00A3"/>
                  </w:r>
                </w:p>
              </w:tc>
              <w:tc>
                <w:tcPr>
                  <w:tcW w:w="1591" w:type="dxa"/>
                  <w:vAlign w:val="center"/>
                </w:tcPr>
                <w:p>
                  <w:pPr>
                    <w:jc w:val="center"/>
                    <w:rPr>
                      <w:color w:val="000000"/>
                      <w:sz w:val="18"/>
                      <w:szCs w:val="21"/>
                    </w:rPr>
                  </w:pPr>
                  <w:r>
                    <w:rPr>
                      <w:rFonts w:hint="eastAsia" w:ascii="宋体" w:hAnsi="宋体" w:cs="宋体"/>
                      <w:color w:val="000000"/>
                      <w:sz w:val="18"/>
                      <w:szCs w:val="21"/>
                    </w:rPr>
                    <w:t>Ⅰ</w:t>
                  </w:r>
                  <w:r>
                    <w:rPr>
                      <w:color w:val="000000"/>
                      <w:sz w:val="18"/>
                      <w:szCs w:val="21"/>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Align w:val="center"/>
                </w:tcPr>
                <w:p>
                  <w:pPr>
                    <w:jc w:val="center"/>
                    <w:rPr>
                      <w:color w:val="000000"/>
                      <w:sz w:val="18"/>
                      <w:szCs w:val="21"/>
                    </w:rPr>
                  </w:pPr>
                  <w:r>
                    <w:rPr>
                      <w:color w:val="000000"/>
                      <w:sz w:val="18"/>
                      <w:szCs w:val="21"/>
                    </w:rPr>
                    <w:t>评价等级</w:t>
                  </w:r>
                </w:p>
              </w:tc>
              <w:tc>
                <w:tcPr>
                  <w:tcW w:w="2582" w:type="dxa"/>
                  <w:gridSpan w:val="2"/>
                  <w:vAlign w:val="center"/>
                </w:tcPr>
                <w:p>
                  <w:pPr>
                    <w:jc w:val="center"/>
                    <w:rPr>
                      <w:color w:val="000000"/>
                      <w:sz w:val="18"/>
                      <w:szCs w:val="21"/>
                    </w:rPr>
                  </w:pPr>
                  <w:r>
                    <w:rPr>
                      <w:color w:val="000000"/>
                      <w:sz w:val="18"/>
                      <w:szCs w:val="21"/>
                    </w:rPr>
                    <w:t xml:space="preserve">一级 </w:t>
                  </w:r>
                  <w:r>
                    <w:rPr>
                      <w:color w:val="000000"/>
                      <w:sz w:val="18"/>
                      <w:szCs w:val="21"/>
                    </w:rPr>
                    <w:sym w:font="Wingdings 2" w:char="00A3"/>
                  </w:r>
                </w:p>
              </w:tc>
              <w:tc>
                <w:tcPr>
                  <w:tcW w:w="1846" w:type="dxa"/>
                  <w:gridSpan w:val="2"/>
                  <w:vAlign w:val="center"/>
                </w:tcPr>
                <w:p>
                  <w:pPr>
                    <w:jc w:val="center"/>
                    <w:rPr>
                      <w:color w:val="000000"/>
                      <w:sz w:val="18"/>
                      <w:szCs w:val="21"/>
                    </w:rPr>
                  </w:pPr>
                  <w:r>
                    <w:rPr>
                      <w:color w:val="000000"/>
                      <w:sz w:val="18"/>
                      <w:szCs w:val="21"/>
                    </w:rPr>
                    <w:t xml:space="preserve">二级 </w:t>
                  </w:r>
                  <w:r>
                    <w:rPr>
                      <w:color w:val="000000"/>
                      <w:sz w:val="18"/>
                      <w:szCs w:val="21"/>
                    </w:rPr>
                    <w:sym w:font="Wingdings 2" w:char="00A3"/>
                  </w:r>
                </w:p>
              </w:tc>
              <w:tc>
                <w:tcPr>
                  <w:tcW w:w="1569" w:type="dxa"/>
                  <w:gridSpan w:val="4"/>
                  <w:vAlign w:val="center"/>
                </w:tcPr>
                <w:p>
                  <w:pPr>
                    <w:jc w:val="center"/>
                    <w:rPr>
                      <w:color w:val="000000"/>
                      <w:sz w:val="18"/>
                      <w:szCs w:val="21"/>
                    </w:rPr>
                  </w:pPr>
                  <w:r>
                    <w:rPr>
                      <w:color w:val="000000"/>
                      <w:sz w:val="18"/>
                      <w:szCs w:val="21"/>
                    </w:rPr>
                    <w:t xml:space="preserve">三级 </w:t>
                  </w:r>
                  <w:r>
                    <w:rPr>
                      <w:color w:val="000000"/>
                      <w:sz w:val="18"/>
                      <w:szCs w:val="21"/>
                    </w:rPr>
                    <w:sym w:font="Wingdings 2" w:char="00A3"/>
                  </w:r>
                </w:p>
              </w:tc>
              <w:tc>
                <w:tcPr>
                  <w:tcW w:w="1591" w:type="dxa"/>
                  <w:vAlign w:val="center"/>
                </w:tcPr>
                <w:p>
                  <w:pPr>
                    <w:jc w:val="center"/>
                    <w:rPr>
                      <w:color w:val="000000"/>
                      <w:sz w:val="18"/>
                      <w:szCs w:val="21"/>
                    </w:rPr>
                  </w:pPr>
                  <w:r>
                    <w:rPr>
                      <w:color w:val="000000"/>
                      <w:sz w:val="18"/>
                      <w:szCs w:val="21"/>
                    </w:rPr>
                    <w:t>简单分析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restart"/>
                  <w:vAlign w:val="center"/>
                </w:tcPr>
                <w:p>
                  <w:pPr>
                    <w:jc w:val="center"/>
                    <w:rPr>
                      <w:color w:val="000000"/>
                      <w:sz w:val="18"/>
                      <w:szCs w:val="21"/>
                    </w:rPr>
                  </w:pPr>
                  <w:r>
                    <w:rPr>
                      <w:color w:val="000000"/>
                      <w:sz w:val="18"/>
                      <w:szCs w:val="21"/>
                    </w:rPr>
                    <w:t>风险识别</w:t>
                  </w:r>
                </w:p>
              </w:tc>
              <w:tc>
                <w:tcPr>
                  <w:tcW w:w="1065" w:type="dxa"/>
                  <w:vAlign w:val="center"/>
                </w:tcPr>
                <w:p>
                  <w:pPr>
                    <w:jc w:val="center"/>
                    <w:rPr>
                      <w:color w:val="000000"/>
                      <w:sz w:val="18"/>
                      <w:szCs w:val="21"/>
                    </w:rPr>
                  </w:pPr>
                  <w:r>
                    <w:rPr>
                      <w:color w:val="000000"/>
                      <w:sz w:val="18"/>
                      <w:szCs w:val="21"/>
                    </w:rPr>
                    <w:t>物质危险性</w:t>
                  </w:r>
                </w:p>
              </w:tc>
              <w:tc>
                <w:tcPr>
                  <w:tcW w:w="3790" w:type="dxa"/>
                  <w:gridSpan w:val="3"/>
                  <w:vAlign w:val="center"/>
                </w:tcPr>
                <w:p>
                  <w:pPr>
                    <w:jc w:val="center"/>
                    <w:rPr>
                      <w:color w:val="000000"/>
                      <w:sz w:val="18"/>
                      <w:szCs w:val="21"/>
                    </w:rPr>
                  </w:pPr>
                  <w:r>
                    <w:rPr>
                      <w:color w:val="000000"/>
                      <w:sz w:val="18"/>
                      <w:szCs w:val="21"/>
                    </w:rPr>
                    <w:t>有毒有害 √</w:t>
                  </w:r>
                </w:p>
              </w:tc>
              <w:tc>
                <w:tcPr>
                  <w:tcW w:w="3798" w:type="dxa"/>
                  <w:gridSpan w:val="6"/>
                  <w:vAlign w:val="center"/>
                </w:tcPr>
                <w:p>
                  <w:pPr>
                    <w:jc w:val="center"/>
                    <w:rPr>
                      <w:color w:val="000000"/>
                      <w:sz w:val="18"/>
                      <w:szCs w:val="21"/>
                    </w:rPr>
                  </w:pPr>
                  <w:r>
                    <w:rPr>
                      <w:color w:val="000000"/>
                      <w:sz w:val="18"/>
                      <w:szCs w:val="21"/>
                    </w:rPr>
                    <w:t>易燃易爆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Align w:val="center"/>
                </w:tcPr>
                <w:p>
                  <w:pPr>
                    <w:jc w:val="center"/>
                    <w:rPr>
                      <w:color w:val="000000"/>
                      <w:sz w:val="18"/>
                      <w:szCs w:val="21"/>
                    </w:rPr>
                  </w:pPr>
                  <w:r>
                    <w:rPr>
                      <w:color w:val="000000"/>
                      <w:sz w:val="18"/>
                      <w:szCs w:val="21"/>
                    </w:rPr>
                    <w:t>环境风险</w:t>
                  </w:r>
                </w:p>
                <w:p>
                  <w:pPr>
                    <w:jc w:val="center"/>
                    <w:rPr>
                      <w:color w:val="000000"/>
                      <w:sz w:val="18"/>
                      <w:szCs w:val="21"/>
                    </w:rPr>
                  </w:pPr>
                  <w:r>
                    <w:rPr>
                      <w:color w:val="000000"/>
                      <w:sz w:val="18"/>
                      <w:szCs w:val="21"/>
                    </w:rPr>
                    <w:t>类型</w:t>
                  </w:r>
                </w:p>
              </w:tc>
              <w:tc>
                <w:tcPr>
                  <w:tcW w:w="2582" w:type="dxa"/>
                  <w:gridSpan w:val="2"/>
                  <w:vAlign w:val="center"/>
                </w:tcPr>
                <w:p>
                  <w:pPr>
                    <w:jc w:val="center"/>
                    <w:rPr>
                      <w:color w:val="000000"/>
                      <w:sz w:val="18"/>
                      <w:szCs w:val="21"/>
                    </w:rPr>
                  </w:pPr>
                  <w:r>
                    <w:rPr>
                      <w:color w:val="000000"/>
                      <w:sz w:val="18"/>
                      <w:szCs w:val="21"/>
                    </w:rPr>
                    <w:t>泄露 √</w:t>
                  </w:r>
                </w:p>
              </w:tc>
              <w:tc>
                <w:tcPr>
                  <w:tcW w:w="5006" w:type="dxa"/>
                  <w:gridSpan w:val="7"/>
                  <w:vAlign w:val="center"/>
                </w:tcPr>
                <w:p>
                  <w:pPr>
                    <w:jc w:val="center"/>
                    <w:rPr>
                      <w:color w:val="000000"/>
                      <w:sz w:val="18"/>
                      <w:szCs w:val="21"/>
                    </w:rPr>
                  </w:pPr>
                  <w:r>
                    <w:rPr>
                      <w:color w:val="000000"/>
                      <w:sz w:val="18"/>
                      <w:szCs w:val="21"/>
                    </w:rPr>
                    <w:t>火灾、爆炸引发伴生/次生污染物排放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Align w:val="center"/>
                </w:tcPr>
                <w:p>
                  <w:pPr>
                    <w:jc w:val="center"/>
                    <w:rPr>
                      <w:color w:val="000000"/>
                      <w:sz w:val="18"/>
                      <w:szCs w:val="21"/>
                    </w:rPr>
                  </w:pPr>
                  <w:r>
                    <w:rPr>
                      <w:color w:val="000000"/>
                      <w:sz w:val="18"/>
                      <w:szCs w:val="21"/>
                    </w:rPr>
                    <w:t>影响途径</w:t>
                  </w:r>
                </w:p>
              </w:tc>
              <w:tc>
                <w:tcPr>
                  <w:tcW w:w="2582" w:type="dxa"/>
                  <w:gridSpan w:val="2"/>
                  <w:vAlign w:val="center"/>
                </w:tcPr>
                <w:p>
                  <w:pPr>
                    <w:jc w:val="center"/>
                    <w:rPr>
                      <w:color w:val="000000"/>
                      <w:sz w:val="18"/>
                      <w:szCs w:val="21"/>
                    </w:rPr>
                  </w:pPr>
                  <w:r>
                    <w:rPr>
                      <w:color w:val="000000"/>
                      <w:sz w:val="18"/>
                      <w:szCs w:val="21"/>
                    </w:rPr>
                    <w:t>大气 √</w:t>
                  </w:r>
                </w:p>
              </w:tc>
              <w:tc>
                <w:tcPr>
                  <w:tcW w:w="2639" w:type="dxa"/>
                  <w:gridSpan w:val="4"/>
                  <w:vAlign w:val="center"/>
                </w:tcPr>
                <w:p>
                  <w:pPr>
                    <w:jc w:val="center"/>
                    <w:rPr>
                      <w:color w:val="000000"/>
                      <w:sz w:val="18"/>
                      <w:szCs w:val="21"/>
                    </w:rPr>
                  </w:pPr>
                  <w:r>
                    <w:rPr>
                      <w:color w:val="000000"/>
                      <w:sz w:val="18"/>
                      <w:szCs w:val="21"/>
                    </w:rPr>
                    <w:t>地表水 √</w:t>
                  </w:r>
                </w:p>
              </w:tc>
              <w:tc>
                <w:tcPr>
                  <w:tcW w:w="2367" w:type="dxa"/>
                  <w:gridSpan w:val="3"/>
                  <w:vAlign w:val="center"/>
                </w:tcPr>
                <w:p>
                  <w:pPr>
                    <w:jc w:val="center"/>
                    <w:rPr>
                      <w:color w:val="000000"/>
                      <w:sz w:val="18"/>
                      <w:szCs w:val="21"/>
                    </w:rPr>
                  </w:pPr>
                  <w:r>
                    <w:rPr>
                      <w:color w:val="000000"/>
                      <w:sz w:val="18"/>
                      <w:szCs w:val="21"/>
                    </w:rPr>
                    <w:t>地下水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Align w:val="center"/>
                </w:tcPr>
                <w:p>
                  <w:pPr>
                    <w:jc w:val="center"/>
                    <w:rPr>
                      <w:color w:val="000000"/>
                      <w:sz w:val="18"/>
                      <w:szCs w:val="21"/>
                    </w:rPr>
                  </w:pPr>
                  <w:r>
                    <w:rPr>
                      <w:color w:val="000000"/>
                      <w:sz w:val="18"/>
                      <w:szCs w:val="21"/>
                    </w:rPr>
                    <w:t>事故情形分析</w:t>
                  </w:r>
                </w:p>
              </w:tc>
              <w:tc>
                <w:tcPr>
                  <w:tcW w:w="1283" w:type="dxa"/>
                  <w:vAlign w:val="center"/>
                </w:tcPr>
                <w:p>
                  <w:pPr>
                    <w:jc w:val="center"/>
                    <w:rPr>
                      <w:color w:val="000000"/>
                      <w:sz w:val="18"/>
                      <w:szCs w:val="21"/>
                    </w:rPr>
                  </w:pPr>
                  <w:r>
                    <w:rPr>
                      <w:color w:val="000000"/>
                      <w:sz w:val="18"/>
                      <w:szCs w:val="21"/>
                    </w:rPr>
                    <w:t>源强设定方法</w:t>
                  </w:r>
                </w:p>
              </w:tc>
              <w:tc>
                <w:tcPr>
                  <w:tcW w:w="1299" w:type="dxa"/>
                  <w:vAlign w:val="center"/>
                </w:tcPr>
                <w:p>
                  <w:pPr>
                    <w:jc w:val="center"/>
                    <w:rPr>
                      <w:color w:val="000000"/>
                      <w:sz w:val="18"/>
                      <w:szCs w:val="21"/>
                    </w:rPr>
                  </w:pPr>
                  <w:r>
                    <w:rPr>
                      <w:color w:val="000000"/>
                      <w:sz w:val="18"/>
                      <w:szCs w:val="21"/>
                    </w:rPr>
                    <w:t xml:space="preserve">计算法 </w:t>
                  </w:r>
                  <w:r>
                    <w:rPr>
                      <w:color w:val="000000"/>
                      <w:sz w:val="18"/>
                      <w:szCs w:val="21"/>
                    </w:rPr>
                    <w:sym w:font="Wingdings 2" w:char="00A3"/>
                  </w:r>
                </w:p>
              </w:tc>
              <w:tc>
                <w:tcPr>
                  <w:tcW w:w="2639" w:type="dxa"/>
                  <w:gridSpan w:val="4"/>
                  <w:vAlign w:val="center"/>
                </w:tcPr>
                <w:p>
                  <w:pPr>
                    <w:jc w:val="center"/>
                    <w:rPr>
                      <w:color w:val="000000"/>
                      <w:sz w:val="18"/>
                      <w:szCs w:val="21"/>
                    </w:rPr>
                  </w:pPr>
                  <w:r>
                    <w:rPr>
                      <w:color w:val="000000"/>
                      <w:sz w:val="18"/>
                      <w:szCs w:val="21"/>
                    </w:rPr>
                    <w:t xml:space="preserve">经验估算法 </w:t>
                  </w:r>
                  <w:r>
                    <w:rPr>
                      <w:color w:val="000000"/>
                      <w:sz w:val="18"/>
                      <w:szCs w:val="21"/>
                    </w:rPr>
                    <w:sym w:font="Wingdings 2" w:char="00A3"/>
                  </w:r>
                </w:p>
              </w:tc>
              <w:tc>
                <w:tcPr>
                  <w:tcW w:w="2367" w:type="dxa"/>
                  <w:gridSpan w:val="3"/>
                  <w:vAlign w:val="center"/>
                </w:tcPr>
                <w:p>
                  <w:pPr>
                    <w:jc w:val="center"/>
                    <w:rPr>
                      <w:color w:val="000000"/>
                      <w:sz w:val="18"/>
                      <w:szCs w:val="21"/>
                    </w:rPr>
                  </w:pPr>
                  <w:r>
                    <w:rPr>
                      <w:color w:val="000000"/>
                      <w:sz w:val="18"/>
                      <w:szCs w:val="21"/>
                    </w:rPr>
                    <w:t xml:space="preserve">其他估算法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restart"/>
                  <w:vAlign w:val="center"/>
                </w:tcPr>
                <w:p>
                  <w:pPr>
                    <w:jc w:val="center"/>
                    <w:rPr>
                      <w:color w:val="000000"/>
                      <w:sz w:val="18"/>
                      <w:szCs w:val="21"/>
                    </w:rPr>
                  </w:pPr>
                  <w:r>
                    <w:rPr>
                      <w:color w:val="000000"/>
                      <w:sz w:val="18"/>
                      <w:szCs w:val="21"/>
                    </w:rPr>
                    <w:t>风险预测与评价</w:t>
                  </w:r>
                </w:p>
              </w:tc>
              <w:tc>
                <w:tcPr>
                  <w:tcW w:w="1065" w:type="dxa"/>
                  <w:vMerge w:val="restart"/>
                  <w:vAlign w:val="center"/>
                </w:tcPr>
                <w:p>
                  <w:pPr>
                    <w:jc w:val="center"/>
                    <w:rPr>
                      <w:color w:val="000000"/>
                      <w:sz w:val="18"/>
                      <w:szCs w:val="21"/>
                    </w:rPr>
                  </w:pPr>
                  <w:r>
                    <w:rPr>
                      <w:color w:val="000000"/>
                      <w:sz w:val="18"/>
                      <w:szCs w:val="21"/>
                    </w:rPr>
                    <w:t>大气</w:t>
                  </w:r>
                </w:p>
              </w:tc>
              <w:tc>
                <w:tcPr>
                  <w:tcW w:w="1283" w:type="dxa"/>
                  <w:vAlign w:val="center"/>
                </w:tcPr>
                <w:p>
                  <w:pPr>
                    <w:jc w:val="center"/>
                    <w:rPr>
                      <w:color w:val="000000"/>
                      <w:sz w:val="18"/>
                      <w:szCs w:val="21"/>
                    </w:rPr>
                  </w:pPr>
                  <w:r>
                    <w:rPr>
                      <w:color w:val="000000"/>
                      <w:sz w:val="18"/>
                      <w:szCs w:val="21"/>
                    </w:rPr>
                    <w:t>预测模型</w:t>
                  </w:r>
                </w:p>
              </w:tc>
              <w:tc>
                <w:tcPr>
                  <w:tcW w:w="1299" w:type="dxa"/>
                  <w:vAlign w:val="center"/>
                </w:tcPr>
                <w:p>
                  <w:pPr>
                    <w:jc w:val="center"/>
                    <w:rPr>
                      <w:color w:val="000000"/>
                      <w:sz w:val="18"/>
                      <w:szCs w:val="21"/>
                    </w:rPr>
                  </w:pPr>
                  <w:r>
                    <w:rPr>
                      <w:color w:val="000000"/>
                      <w:sz w:val="18"/>
                      <w:szCs w:val="21"/>
                    </w:rPr>
                    <w:t xml:space="preserve">SLAB </w:t>
                  </w:r>
                  <w:r>
                    <w:rPr>
                      <w:color w:val="000000"/>
                      <w:sz w:val="18"/>
                      <w:szCs w:val="21"/>
                    </w:rPr>
                    <w:sym w:font="Wingdings 2" w:char="00A3"/>
                  </w:r>
                </w:p>
              </w:tc>
              <w:tc>
                <w:tcPr>
                  <w:tcW w:w="2639" w:type="dxa"/>
                  <w:gridSpan w:val="4"/>
                  <w:vAlign w:val="center"/>
                </w:tcPr>
                <w:p>
                  <w:pPr>
                    <w:jc w:val="center"/>
                    <w:rPr>
                      <w:color w:val="000000"/>
                      <w:sz w:val="18"/>
                      <w:szCs w:val="21"/>
                    </w:rPr>
                  </w:pPr>
                  <w:r>
                    <w:rPr>
                      <w:color w:val="000000"/>
                      <w:sz w:val="18"/>
                      <w:szCs w:val="21"/>
                    </w:rPr>
                    <w:t xml:space="preserve">AFTOX </w:t>
                  </w:r>
                  <w:r>
                    <w:rPr>
                      <w:color w:val="000000"/>
                      <w:sz w:val="18"/>
                      <w:szCs w:val="21"/>
                    </w:rPr>
                    <w:sym w:font="Wingdings 2" w:char="00A3"/>
                  </w:r>
                </w:p>
              </w:tc>
              <w:tc>
                <w:tcPr>
                  <w:tcW w:w="2367" w:type="dxa"/>
                  <w:gridSpan w:val="3"/>
                  <w:vAlign w:val="center"/>
                </w:tcPr>
                <w:p>
                  <w:pPr>
                    <w:jc w:val="center"/>
                    <w:rPr>
                      <w:color w:val="000000"/>
                      <w:sz w:val="18"/>
                      <w:szCs w:val="21"/>
                    </w:rPr>
                  </w:pPr>
                  <w:r>
                    <w:rPr>
                      <w:color w:val="000000"/>
                      <w:sz w:val="18"/>
                      <w:szCs w:val="21"/>
                    </w:rPr>
                    <w:t xml:space="preserve">其他 </w:t>
                  </w:r>
                  <w:r>
                    <w:rPr>
                      <w:color w:val="000000"/>
                      <w:sz w:val="18"/>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Merge w:val="restart"/>
                  <w:vAlign w:val="center"/>
                </w:tcPr>
                <w:p>
                  <w:pPr>
                    <w:jc w:val="center"/>
                    <w:rPr>
                      <w:color w:val="000000"/>
                      <w:sz w:val="18"/>
                      <w:szCs w:val="21"/>
                    </w:rPr>
                  </w:pPr>
                  <w:r>
                    <w:rPr>
                      <w:color w:val="000000"/>
                      <w:sz w:val="18"/>
                      <w:szCs w:val="21"/>
                    </w:rPr>
                    <w:t>预测结果</w:t>
                  </w:r>
                </w:p>
              </w:tc>
              <w:tc>
                <w:tcPr>
                  <w:tcW w:w="6305" w:type="dxa"/>
                  <w:gridSpan w:val="8"/>
                  <w:vAlign w:val="center"/>
                </w:tcPr>
                <w:p>
                  <w:pPr>
                    <w:jc w:val="center"/>
                    <w:rPr>
                      <w:color w:val="000000"/>
                      <w:sz w:val="18"/>
                      <w:szCs w:val="21"/>
                    </w:rPr>
                  </w:pPr>
                  <w:r>
                    <w:rPr>
                      <w:color w:val="000000"/>
                      <w:sz w:val="18"/>
                      <w:szCs w:val="21"/>
                    </w:rPr>
                    <w:t>大气毒性终点浓度-1 最大影响范围</w:t>
                  </w:r>
                  <w:r>
                    <w:rPr>
                      <w:color w:val="000000"/>
                      <w:sz w:val="18"/>
                      <w:szCs w:val="21"/>
                      <w:u w:val="single"/>
                    </w:rPr>
                    <w:t xml:space="preserve">        </w:t>
                  </w:r>
                  <w:r>
                    <w:rPr>
                      <w:color w:val="000000"/>
                      <w:sz w:val="18"/>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1283" w:type="dxa"/>
                  <w:vMerge w:val="continue"/>
                  <w:vAlign w:val="center"/>
                </w:tcPr>
                <w:p>
                  <w:pPr>
                    <w:jc w:val="center"/>
                    <w:rPr>
                      <w:color w:val="000000"/>
                      <w:sz w:val="18"/>
                      <w:szCs w:val="21"/>
                    </w:rPr>
                  </w:pPr>
                </w:p>
              </w:tc>
              <w:tc>
                <w:tcPr>
                  <w:tcW w:w="6305" w:type="dxa"/>
                  <w:gridSpan w:val="8"/>
                  <w:vAlign w:val="center"/>
                </w:tcPr>
                <w:p>
                  <w:pPr>
                    <w:jc w:val="center"/>
                    <w:rPr>
                      <w:color w:val="000000"/>
                      <w:sz w:val="18"/>
                      <w:szCs w:val="21"/>
                    </w:rPr>
                  </w:pPr>
                  <w:r>
                    <w:rPr>
                      <w:color w:val="000000"/>
                      <w:sz w:val="18"/>
                      <w:szCs w:val="21"/>
                    </w:rPr>
                    <w:t>大气毒性终点浓度-2 最大影响范围</w:t>
                  </w:r>
                  <w:r>
                    <w:rPr>
                      <w:color w:val="000000"/>
                      <w:sz w:val="18"/>
                      <w:szCs w:val="21"/>
                      <w:u w:val="single"/>
                    </w:rPr>
                    <w:t xml:space="preserve">        </w:t>
                  </w:r>
                  <w:r>
                    <w:rPr>
                      <w:color w:val="000000"/>
                      <w:sz w:val="18"/>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Align w:val="center"/>
                </w:tcPr>
                <w:p>
                  <w:pPr>
                    <w:jc w:val="center"/>
                    <w:rPr>
                      <w:color w:val="000000"/>
                      <w:sz w:val="18"/>
                      <w:szCs w:val="21"/>
                    </w:rPr>
                  </w:pPr>
                  <w:r>
                    <w:rPr>
                      <w:color w:val="000000"/>
                      <w:sz w:val="18"/>
                      <w:szCs w:val="21"/>
                    </w:rPr>
                    <w:t>地表水</w:t>
                  </w:r>
                </w:p>
              </w:tc>
              <w:tc>
                <w:tcPr>
                  <w:tcW w:w="7588" w:type="dxa"/>
                  <w:gridSpan w:val="9"/>
                  <w:vAlign w:val="center"/>
                </w:tcPr>
                <w:p>
                  <w:pPr>
                    <w:jc w:val="center"/>
                    <w:rPr>
                      <w:color w:val="000000"/>
                      <w:sz w:val="18"/>
                      <w:szCs w:val="21"/>
                    </w:rPr>
                  </w:pPr>
                  <w:r>
                    <w:rPr>
                      <w:color w:val="000000"/>
                      <w:sz w:val="18"/>
                      <w:szCs w:val="21"/>
                    </w:rPr>
                    <w:t>最近环境敏感目标</w:t>
                  </w:r>
                  <w:r>
                    <w:rPr>
                      <w:color w:val="000000"/>
                      <w:sz w:val="18"/>
                      <w:szCs w:val="21"/>
                      <w:u w:val="single"/>
                    </w:rPr>
                    <w:t xml:space="preserve"> </w:t>
                  </w:r>
                  <w:r>
                    <w:rPr>
                      <w:rFonts w:hint="eastAsia"/>
                      <w:color w:val="000000"/>
                      <w:sz w:val="18"/>
                      <w:szCs w:val="21"/>
                      <w:u w:val="single"/>
                    </w:rPr>
                    <w:t>小河</w:t>
                  </w:r>
                  <w:r>
                    <w:rPr>
                      <w:color w:val="000000"/>
                      <w:sz w:val="18"/>
                      <w:szCs w:val="21"/>
                      <w:u w:val="single"/>
                    </w:rPr>
                    <w:t xml:space="preserve"> </w:t>
                  </w:r>
                  <w:r>
                    <w:rPr>
                      <w:color w:val="000000"/>
                      <w:sz w:val="18"/>
                      <w:szCs w:val="21"/>
                    </w:rPr>
                    <w:t>，到达时间</w:t>
                  </w:r>
                  <w:r>
                    <w:rPr>
                      <w:color w:val="000000"/>
                      <w:sz w:val="18"/>
                      <w:szCs w:val="21"/>
                      <w:u w:val="single"/>
                    </w:rPr>
                    <w:t xml:space="preserve"> </w:t>
                  </w:r>
                  <w:r>
                    <w:rPr>
                      <w:rFonts w:hint="eastAsia"/>
                      <w:color w:val="000000"/>
                      <w:sz w:val="18"/>
                      <w:szCs w:val="21"/>
                      <w:u w:val="single"/>
                    </w:rPr>
                    <w:t>0.5</w:t>
                  </w:r>
                  <w:r>
                    <w:rPr>
                      <w:color w:val="000000"/>
                      <w:sz w:val="18"/>
                      <w:szCs w:val="21"/>
                      <w:u w:val="single"/>
                    </w:rPr>
                    <w:t xml:space="preserve"> </w:t>
                  </w:r>
                  <w:r>
                    <w:rPr>
                      <w:color w:val="000000"/>
                      <w:sz w:val="18"/>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restart"/>
                  <w:vAlign w:val="center"/>
                </w:tcPr>
                <w:p>
                  <w:pPr>
                    <w:jc w:val="center"/>
                    <w:rPr>
                      <w:color w:val="000000"/>
                      <w:sz w:val="18"/>
                      <w:szCs w:val="21"/>
                    </w:rPr>
                  </w:pPr>
                  <w:r>
                    <w:rPr>
                      <w:color w:val="000000"/>
                      <w:sz w:val="18"/>
                      <w:szCs w:val="21"/>
                    </w:rPr>
                    <w:t>地下水</w:t>
                  </w:r>
                </w:p>
              </w:tc>
              <w:tc>
                <w:tcPr>
                  <w:tcW w:w="7588" w:type="dxa"/>
                  <w:gridSpan w:val="9"/>
                  <w:vAlign w:val="center"/>
                </w:tcPr>
                <w:p>
                  <w:pPr>
                    <w:jc w:val="center"/>
                    <w:rPr>
                      <w:color w:val="000000"/>
                      <w:sz w:val="18"/>
                      <w:szCs w:val="21"/>
                    </w:rPr>
                  </w:pPr>
                  <w:r>
                    <w:rPr>
                      <w:color w:val="000000"/>
                      <w:sz w:val="18"/>
                      <w:szCs w:val="21"/>
                    </w:rPr>
                    <w:t>下游厂区边界到达时间</w:t>
                  </w:r>
                  <w:r>
                    <w:rPr>
                      <w:color w:val="000000"/>
                      <w:sz w:val="18"/>
                      <w:szCs w:val="21"/>
                      <w:u w:val="single"/>
                    </w:rPr>
                    <w:t xml:space="preserve">        </w:t>
                  </w:r>
                  <w:r>
                    <w:rPr>
                      <w:color w:val="000000"/>
                      <w:sz w:val="18"/>
                      <w:szCs w:val="21"/>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jc w:val="center"/>
                    <w:rPr>
                      <w:color w:val="000000"/>
                      <w:sz w:val="18"/>
                      <w:szCs w:val="21"/>
                    </w:rPr>
                  </w:pPr>
                </w:p>
              </w:tc>
              <w:tc>
                <w:tcPr>
                  <w:tcW w:w="1065" w:type="dxa"/>
                  <w:vMerge w:val="continue"/>
                  <w:vAlign w:val="center"/>
                </w:tcPr>
                <w:p>
                  <w:pPr>
                    <w:jc w:val="center"/>
                    <w:rPr>
                      <w:color w:val="000000"/>
                      <w:sz w:val="18"/>
                      <w:szCs w:val="21"/>
                    </w:rPr>
                  </w:pPr>
                </w:p>
              </w:tc>
              <w:tc>
                <w:tcPr>
                  <w:tcW w:w="7588" w:type="dxa"/>
                  <w:gridSpan w:val="9"/>
                  <w:vAlign w:val="center"/>
                </w:tcPr>
                <w:p>
                  <w:pPr>
                    <w:jc w:val="center"/>
                    <w:rPr>
                      <w:color w:val="000000"/>
                      <w:sz w:val="18"/>
                      <w:szCs w:val="21"/>
                    </w:rPr>
                  </w:pPr>
                  <w:r>
                    <w:rPr>
                      <w:color w:val="000000"/>
                      <w:sz w:val="18"/>
                      <w:szCs w:val="21"/>
                    </w:rPr>
                    <w:t>最近环境敏感目标</w:t>
                  </w:r>
                  <w:r>
                    <w:rPr>
                      <w:color w:val="000000"/>
                      <w:sz w:val="18"/>
                      <w:szCs w:val="21"/>
                      <w:u w:val="single"/>
                    </w:rPr>
                    <w:t xml:space="preserve">              </w:t>
                  </w:r>
                  <w:r>
                    <w:rPr>
                      <w:color w:val="000000"/>
                      <w:sz w:val="18"/>
                      <w:szCs w:val="21"/>
                    </w:rPr>
                    <w:t>，到达时间</w:t>
                  </w:r>
                  <w:r>
                    <w:rPr>
                      <w:color w:val="000000"/>
                      <w:sz w:val="18"/>
                      <w:szCs w:val="21"/>
                      <w:u w:val="single"/>
                    </w:rPr>
                    <w:t xml:space="preserve">        </w:t>
                  </w:r>
                  <w:r>
                    <w:rPr>
                      <w:color w:val="000000"/>
                      <w:sz w:val="18"/>
                      <w:szCs w:val="21"/>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Align w:val="center"/>
                </w:tcPr>
                <w:p>
                  <w:pPr>
                    <w:jc w:val="center"/>
                    <w:rPr>
                      <w:color w:val="000000"/>
                      <w:sz w:val="18"/>
                      <w:szCs w:val="21"/>
                    </w:rPr>
                  </w:pPr>
                  <w:r>
                    <w:rPr>
                      <w:color w:val="000000"/>
                      <w:sz w:val="18"/>
                      <w:szCs w:val="21"/>
                    </w:rPr>
                    <w:t>重点风险防范</w:t>
                  </w:r>
                </w:p>
                <w:p>
                  <w:pPr>
                    <w:jc w:val="center"/>
                    <w:rPr>
                      <w:color w:val="000000"/>
                      <w:sz w:val="18"/>
                      <w:szCs w:val="21"/>
                    </w:rPr>
                  </w:pPr>
                  <w:r>
                    <w:rPr>
                      <w:color w:val="000000"/>
                      <w:sz w:val="18"/>
                      <w:szCs w:val="21"/>
                    </w:rPr>
                    <w:t>措施</w:t>
                  </w:r>
                </w:p>
              </w:tc>
              <w:tc>
                <w:tcPr>
                  <w:tcW w:w="7588" w:type="dxa"/>
                  <w:gridSpan w:val="9"/>
                  <w:vAlign w:val="center"/>
                </w:tcPr>
                <w:p>
                  <w:pPr>
                    <w:ind w:firstLine="360" w:firstLineChars="200"/>
                    <w:rPr>
                      <w:color w:val="000000"/>
                      <w:sz w:val="18"/>
                      <w:szCs w:val="21"/>
                    </w:rPr>
                  </w:pPr>
                  <w:r>
                    <w:rPr>
                      <w:rFonts w:hint="eastAsia" w:ascii="宋体" w:hAnsi="宋体" w:cs="宋体"/>
                      <w:color w:val="000000"/>
                      <w:sz w:val="18"/>
                      <w:szCs w:val="21"/>
                    </w:rPr>
                    <w:t>①</w:t>
                  </w:r>
                  <w:r>
                    <w:rPr>
                      <w:color w:val="000000"/>
                      <w:sz w:val="18"/>
                      <w:szCs w:val="21"/>
                    </w:rPr>
                    <w:t>在生产、经营等各方面必须严格执行有关法律、法规。</w:t>
                  </w:r>
                  <w:r>
                    <w:rPr>
                      <w:rFonts w:hint="eastAsia" w:ascii="宋体" w:hAnsi="宋体" w:cs="宋体"/>
                      <w:color w:val="000000"/>
                      <w:sz w:val="18"/>
                      <w:szCs w:val="21"/>
                    </w:rPr>
                    <w:t>②</w:t>
                  </w:r>
                  <w:r>
                    <w:rPr>
                      <w:color w:val="000000"/>
                      <w:sz w:val="18"/>
                      <w:szCs w:val="21"/>
                    </w:rPr>
                    <w:t>设立安全与环保专员，建立完善的安全生产管理制度。</w:t>
                  </w:r>
                  <w:r>
                    <w:rPr>
                      <w:rFonts w:hint="eastAsia" w:ascii="宋体" w:hAnsi="宋体" w:cs="宋体"/>
                      <w:color w:val="000000"/>
                      <w:sz w:val="18"/>
                      <w:szCs w:val="21"/>
                    </w:rPr>
                    <w:t>③</w:t>
                  </w:r>
                  <w:r>
                    <w:rPr>
                      <w:color w:val="000000"/>
                      <w:sz w:val="18"/>
                      <w:szCs w:val="21"/>
                    </w:rPr>
                    <w:t>合理厂区及车间平面布置。</w:t>
                  </w:r>
                  <w:r>
                    <w:rPr>
                      <w:rFonts w:hint="eastAsia" w:ascii="宋体" w:hAnsi="宋体" w:cs="宋体"/>
                      <w:color w:val="000000"/>
                      <w:sz w:val="18"/>
                      <w:szCs w:val="21"/>
                    </w:rPr>
                    <w:t>④</w:t>
                  </w:r>
                  <w:r>
                    <w:rPr>
                      <w:color w:val="000000"/>
                      <w:sz w:val="18"/>
                      <w:szCs w:val="21"/>
                    </w:rPr>
                    <w:t>减少可燃物的库存量。</w:t>
                  </w:r>
                  <w:r>
                    <w:rPr>
                      <w:rFonts w:hint="eastAsia" w:ascii="宋体" w:hAnsi="宋体" w:cs="宋体"/>
                      <w:color w:val="000000"/>
                      <w:sz w:val="18"/>
                      <w:szCs w:val="21"/>
                    </w:rPr>
                    <w:t>⑤</w:t>
                  </w:r>
                  <w:r>
                    <w:rPr>
                      <w:color w:val="000000"/>
                      <w:sz w:val="18"/>
                      <w:szCs w:val="21"/>
                    </w:rPr>
                    <w:t>设置事故排风装置。</w:t>
                  </w:r>
                  <w:r>
                    <w:rPr>
                      <w:rFonts w:hint="eastAsia" w:ascii="宋体" w:hAnsi="宋体" w:cs="宋体"/>
                      <w:color w:val="000000"/>
                      <w:sz w:val="18"/>
                      <w:szCs w:val="21"/>
                    </w:rPr>
                    <w:t>⑥</w:t>
                  </w:r>
                  <w:r>
                    <w:rPr>
                      <w:color w:val="000000"/>
                      <w:sz w:val="18"/>
                      <w:szCs w:val="21"/>
                    </w:rPr>
                    <w:t>库房设立防渗、防漏措施。</w:t>
                  </w:r>
                  <w:r>
                    <w:rPr>
                      <w:rFonts w:hint="eastAsia" w:ascii="宋体" w:hAnsi="宋体" w:cs="宋体"/>
                      <w:color w:val="000000"/>
                      <w:sz w:val="18"/>
                      <w:szCs w:val="21"/>
                    </w:rPr>
                    <w:t>⑦</w:t>
                  </w:r>
                  <w:r>
                    <w:rPr>
                      <w:color w:val="000000"/>
                      <w:sz w:val="18"/>
                      <w:szCs w:val="21"/>
                    </w:rPr>
                    <w:t>设立应急事故池。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1" w:type="dxa"/>
                  <w:gridSpan w:val="2"/>
                  <w:vAlign w:val="center"/>
                </w:tcPr>
                <w:p>
                  <w:pPr>
                    <w:jc w:val="center"/>
                    <w:rPr>
                      <w:color w:val="000000"/>
                      <w:sz w:val="18"/>
                      <w:szCs w:val="21"/>
                    </w:rPr>
                  </w:pPr>
                  <w:r>
                    <w:rPr>
                      <w:color w:val="000000"/>
                      <w:sz w:val="18"/>
                      <w:szCs w:val="21"/>
                    </w:rPr>
                    <w:t>评价结论与建议</w:t>
                  </w:r>
                </w:p>
              </w:tc>
              <w:tc>
                <w:tcPr>
                  <w:tcW w:w="7588" w:type="dxa"/>
                  <w:gridSpan w:val="9"/>
                  <w:vAlign w:val="center"/>
                </w:tcPr>
                <w:p>
                  <w:pPr>
                    <w:ind w:firstLine="360" w:firstLineChars="200"/>
                    <w:rPr>
                      <w:color w:val="000000"/>
                      <w:sz w:val="18"/>
                      <w:szCs w:val="21"/>
                    </w:rPr>
                  </w:pPr>
                  <w:r>
                    <w:rPr>
                      <w:color w:val="000000"/>
                      <w:sz w:val="18"/>
                      <w:szCs w:val="21"/>
                    </w:rPr>
                    <w:t>根据《建设项目环境  风险评价技术导则》（HJ 169-2018）中确定评价工作级别的方法，本项目环境风险潜势为I、评价工作等级为简单分析，无需设立风险评价范围。</w:t>
                  </w:r>
                </w:p>
                <w:p>
                  <w:pPr>
                    <w:ind w:firstLine="360" w:firstLineChars="200"/>
                    <w:rPr>
                      <w:color w:val="000000"/>
                      <w:sz w:val="18"/>
                      <w:szCs w:val="21"/>
                    </w:rPr>
                  </w:pPr>
                  <w:r>
                    <w:rPr>
                      <w:color w:val="000000"/>
                      <w:sz w:val="18"/>
                      <w:szCs w:val="21"/>
                    </w:rPr>
                    <w:t>项目根据具体情况做好预防措施，发生环境风险的可能性较小，并且一旦发生，按照制定的发生事故时的应急措施和预案，对周围工厂的安全应该是可以保证的，对周围环境影响很小。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9" w:type="dxa"/>
                  <w:gridSpan w:val="11"/>
                  <w:vAlign w:val="center"/>
                </w:tcPr>
                <w:p>
                  <w:pPr>
                    <w:rPr>
                      <w:color w:val="000000"/>
                      <w:sz w:val="18"/>
                      <w:szCs w:val="21"/>
                    </w:rPr>
                  </w:pPr>
                  <w:r>
                    <w:rPr>
                      <w:color w:val="000000"/>
                      <w:sz w:val="18"/>
                      <w:szCs w:val="21"/>
                    </w:rPr>
                    <w:t>注：“</w:t>
                  </w:r>
                  <w:r>
                    <w:rPr>
                      <w:color w:val="000000"/>
                      <w:sz w:val="18"/>
                      <w:szCs w:val="21"/>
                    </w:rPr>
                    <w:sym w:font="Wingdings 2" w:char="00A3"/>
                  </w:r>
                  <w:r>
                    <w:rPr>
                      <w:color w:val="000000"/>
                      <w:sz w:val="18"/>
                      <w:szCs w:val="21"/>
                    </w:rPr>
                    <w:t>”为勾选项，“</w:t>
                  </w:r>
                  <w:r>
                    <w:rPr>
                      <w:color w:val="000000"/>
                      <w:sz w:val="18"/>
                      <w:szCs w:val="21"/>
                      <w:u w:val="single"/>
                    </w:rPr>
                    <w:t xml:space="preserve">       </w:t>
                  </w:r>
                  <w:r>
                    <w:rPr>
                      <w:color w:val="000000"/>
                      <w:sz w:val="18"/>
                      <w:szCs w:val="21"/>
                    </w:rPr>
                    <w:t>”为填写项。</w:t>
                  </w:r>
                </w:p>
              </w:tc>
            </w:tr>
          </w:tbl>
          <w:p>
            <w:pPr>
              <w:adjustRightInd w:val="0"/>
              <w:snapToGrid w:val="0"/>
              <w:rPr>
                <w:color w:val="000000"/>
                <w:sz w:val="24"/>
                <w:highlight w:val="yellow"/>
              </w:rPr>
            </w:pPr>
          </w:p>
        </w:tc>
      </w:tr>
    </w:tbl>
    <w:p>
      <w:pPr>
        <w:adjustRightInd w:val="0"/>
        <w:snapToGrid w:val="0"/>
        <w:spacing w:line="360" w:lineRule="auto"/>
        <w:rPr>
          <w:b/>
          <w:kern w:val="0"/>
          <w:sz w:val="28"/>
          <w:szCs w:val="28"/>
          <w:highlight w:val="yellow"/>
        </w:rPr>
        <w:sectPr>
          <w:pgSz w:w="11907" w:h="16840"/>
          <w:pgMar w:top="1440" w:right="1080" w:bottom="1440" w:left="1080" w:header="851" w:footer="851" w:gutter="0"/>
          <w:cols w:space="720" w:num="1"/>
          <w:docGrid w:linePitch="312" w:charSpace="0"/>
        </w:sectPr>
      </w:pPr>
    </w:p>
    <w:p>
      <w:pPr>
        <w:pStyle w:val="17"/>
        <w:jc w:val="center"/>
        <w:outlineLvl w:val="0"/>
        <w:rPr>
          <w:rFonts w:ascii="Times New Roman" w:hAnsi="Times New Roman" w:eastAsia="黑体"/>
          <w:snapToGrid w:val="0"/>
          <w:sz w:val="30"/>
          <w:szCs w:val="30"/>
        </w:rPr>
      </w:pPr>
      <w:bookmarkStart w:id="19" w:name="_Toc17142"/>
      <w:r>
        <w:rPr>
          <w:rFonts w:ascii="Times New Roman" w:hAnsi="Times New Roman" w:eastAsia="黑体"/>
          <w:snapToGrid w:val="0"/>
          <w:sz w:val="30"/>
          <w:szCs w:val="30"/>
        </w:rPr>
        <w:t>五、</w:t>
      </w:r>
      <w:bookmarkStart w:id="20" w:name="_Hlk54167917"/>
      <w:r>
        <w:rPr>
          <w:rFonts w:ascii="Times New Roman" w:hAnsi="Times New Roman" w:eastAsia="黑体"/>
          <w:snapToGrid w:val="0"/>
          <w:sz w:val="30"/>
          <w:szCs w:val="30"/>
        </w:rPr>
        <w:t>环境保护措施监督检查清单</w:t>
      </w:r>
      <w:bookmarkEnd w:id="19"/>
      <w:bookmarkEnd w:id="20"/>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688"/>
        <w:gridCol w:w="937"/>
        <w:gridCol w:w="1263"/>
        <w:gridCol w:w="2075"/>
        <w:gridCol w:w="23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93" w:type="dxa"/>
            <w:tcBorders>
              <w:tl2br w:val="single" w:color="auto" w:sz="4" w:space="0"/>
            </w:tcBorders>
          </w:tcPr>
          <w:p>
            <w:pPr>
              <w:adjustRightInd w:val="0"/>
              <w:snapToGrid w:val="0"/>
              <w:ind w:firstLine="840"/>
              <w:rPr>
                <w:szCs w:val="21"/>
              </w:rPr>
            </w:pPr>
            <w:r>
              <w:rPr>
                <w:szCs w:val="21"/>
              </w:rPr>
              <w:t>内容</w:t>
            </w:r>
          </w:p>
          <w:p>
            <w:pPr>
              <w:adjustRightInd w:val="0"/>
              <w:snapToGrid w:val="0"/>
              <w:rPr>
                <w:szCs w:val="21"/>
              </w:rPr>
            </w:pPr>
            <w:r>
              <w:rPr>
                <w:szCs w:val="21"/>
              </w:rPr>
              <w:t>要素</w:t>
            </w:r>
          </w:p>
        </w:tc>
        <w:tc>
          <w:tcPr>
            <w:tcW w:w="1625" w:type="dxa"/>
            <w:gridSpan w:val="2"/>
            <w:vAlign w:val="center"/>
          </w:tcPr>
          <w:p>
            <w:pPr>
              <w:adjustRightInd w:val="0"/>
              <w:snapToGrid w:val="0"/>
              <w:jc w:val="center"/>
              <w:rPr>
                <w:szCs w:val="21"/>
              </w:rPr>
            </w:pPr>
            <w:r>
              <w:rPr>
                <w:szCs w:val="21"/>
              </w:rPr>
              <w:t>排放口（编号、</w:t>
            </w:r>
          </w:p>
          <w:p>
            <w:pPr>
              <w:adjustRightInd w:val="0"/>
              <w:snapToGrid w:val="0"/>
              <w:jc w:val="center"/>
              <w:rPr>
                <w:szCs w:val="21"/>
              </w:rPr>
            </w:pPr>
            <w:r>
              <w:rPr>
                <w:szCs w:val="21"/>
              </w:rPr>
              <w:t>名称）/污染源</w:t>
            </w:r>
          </w:p>
        </w:tc>
        <w:tc>
          <w:tcPr>
            <w:tcW w:w="1263" w:type="dxa"/>
            <w:vAlign w:val="center"/>
          </w:tcPr>
          <w:p>
            <w:pPr>
              <w:adjustRightInd w:val="0"/>
              <w:snapToGrid w:val="0"/>
              <w:jc w:val="center"/>
              <w:rPr>
                <w:szCs w:val="21"/>
              </w:rPr>
            </w:pPr>
            <w:r>
              <w:rPr>
                <w:szCs w:val="21"/>
              </w:rPr>
              <w:t>污染物项目</w:t>
            </w:r>
          </w:p>
        </w:tc>
        <w:tc>
          <w:tcPr>
            <w:tcW w:w="2075" w:type="dxa"/>
            <w:vAlign w:val="center"/>
          </w:tcPr>
          <w:p>
            <w:pPr>
              <w:adjustRightInd w:val="0"/>
              <w:snapToGrid w:val="0"/>
              <w:jc w:val="center"/>
              <w:rPr>
                <w:szCs w:val="21"/>
              </w:rPr>
            </w:pPr>
            <w:r>
              <w:rPr>
                <w:szCs w:val="21"/>
              </w:rPr>
              <w:t>环境保护措施</w:t>
            </w:r>
          </w:p>
        </w:tc>
        <w:tc>
          <w:tcPr>
            <w:tcW w:w="2341" w:type="dxa"/>
            <w:vAlign w:val="center"/>
          </w:tcPr>
          <w:p>
            <w:pPr>
              <w:adjustRightInd w:val="0"/>
              <w:snapToGrid w:val="0"/>
              <w:jc w:val="center"/>
              <w:rPr>
                <w:szCs w:val="21"/>
              </w:rPr>
            </w:pPr>
            <w:r>
              <w:rPr>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Merge w:val="restart"/>
            <w:vAlign w:val="center"/>
          </w:tcPr>
          <w:p>
            <w:pPr>
              <w:adjustRightInd w:val="0"/>
              <w:snapToGrid w:val="0"/>
              <w:jc w:val="center"/>
              <w:rPr>
                <w:szCs w:val="21"/>
              </w:rPr>
            </w:pPr>
            <w:r>
              <w:rPr>
                <w:szCs w:val="21"/>
              </w:rPr>
              <w:t>大气环境</w:t>
            </w:r>
          </w:p>
        </w:tc>
        <w:tc>
          <w:tcPr>
            <w:tcW w:w="688" w:type="dxa"/>
            <w:vMerge w:val="restart"/>
            <w:vAlign w:val="center"/>
          </w:tcPr>
          <w:p>
            <w:pPr>
              <w:adjustRightInd w:val="0"/>
              <w:snapToGrid w:val="0"/>
              <w:jc w:val="center"/>
              <w:rPr>
                <w:szCs w:val="21"/>
              </w:rPr>
            </w:pPr>
            <w:r>
              <w:rPr>
                <w:szCs w:val="21"/>
              </w:rPr>
              <w:t>有组织</w:t>
            </w:r>
          </w:p>
        </w:tc>
        <w:tc>
          <w:tcPr>
            <w:tcW w:w="937" w:type="dxa"/>
            <w:vAlign w:val="center"/>
          </w:tcPr>
          <w:p>
            <w:pPr>
              <w:adjustRightInd w:val="0"/>
              <w:snapToGrid w:val="0"/>
              <w:jc w:val="center"/>
              <w:rPr>
                <w:color w:val="000000"/>
                <w:szCs w:val="21"/>
              </w:rPr>
            </w:pPr>
            <w:r>
              <w:rPr>
                <w:rFonts w:hint="eastAsia"/>
                <w:color w:val="000000"/>
                <w:szCs w:val="21"/>
              </w:rPr>
              <w:t>DA001</w:t>
            </w:r>
          </w:p>
        </w:tc>
        <w:tc>
          <w:tcPr>
            <w:tcW w:w="1263" w:type="dxa"/>
            <w:vMerge w:val="restart"/>
            <w:vAlign w:val="center"/>
          </w:tcPr>
          <w:p>
            <w:pPr>
              <w:pStyle w:val="38"/>
              <w:tabs>
                <w:tab w:val="left" w:pos="0"/>
              </w:tabs>
              <w:spacing w:before="24" w:after="24" w:line="240" w:lineRule="auto"/>
              <w:ind w:firstLine="0"/>
              <w:rPr>
                <w:rFonts w:ascii="Times New Roman" w:eastAsia="宋体"/>
                <w:bCs/>
                <w:color w:val="000000"/>
                <w:spacing w:val="0"/>
                <w:szCs w:val="21"/>
              </w:rPr>
            </w:pPr>
            <w:r>
              <w:rPr>
                <w:rFonts w:ascii="Times New Roman" w:eastAsia="宋体"/>
                <w:color w:val="000000"/>
                <w:spacing w:val="0"/>
                <w:szCs w:val="21"/>
              </w:rPr>
              <w:t>非甲烷总烃</w:t>
            </w:r>
          </w:p>
        </w:tc>
        <w:tc>
          <w:tcPr>
            <w:tcW w:w="2075" w:type="dxa"/>
            <w:vAlign w:val="center"/>
          </w:tcPr>
          <w:p>
            <w:pPr>
              <w:tabs>
                <w:tab w:val="left" w:pos="0"/>
              </w:tabs>
              <w:jc w:val="center"/>
              <w:rPr>
                <w:bCs/>
                <w:color w:val="000000"/>
                <w:szCs w:val="21"/>
              </w:rPr>
            </w:pPr>
            <w:r>
              <w:rPr>
                <w:rFonts w:hint="eastAsia"/>
                <w:bCs/>
                <w:color w:val="000000"/>
                <w:szCs w:val="21"/>
              </w:rPr>
              <w:t>经</w:t>
            </w:r>
            <w:r>
              <w:rPr>
                <w:bCs/>
                <w:color w:val="000000"/>
                <w:szCs w:val="21"/>
              </w:rPr>
              <w:t>收集后，经活性炭吸附装置处理后由15m高的</w:t>
            </w:r>
            <w:r>
              <w:rPr>
                <w:rFonts w:hint="eastAsia"/>
                <w:bCs/>
                <w:color w:val="000000"/>
                <w:szCs w:val="21"/>
              </w:rPr>
              <w:t>DA001</w:t>
            </w:r>
            <w:r>
              <w:rPr>
                <w:bCs/>
                <w:color w:val="000000"/>
                <w:szCs w:val="21"/>
              </w:rPr>
              <w:t>排气筒排放</w:t>
            </w:r>
          </w:p>
        </w:tc>
        <w:tc>
          <w:tcPr>
            <w:tcW w:w="2341" w:type="dxa"/>
            <w:vMerge w:val="restart"/>
            <w:vAlign w:val="center"/>
          </w:tcPr>
          <w:p>
            <w:pPr>
              <w:adjustRightInd w:val="0"/>
              <w:snapToGrid w:val="0"/>
              <w:jc w:val="center"/>
              <w:rPr>
                <w:szCs w:val="21"/>
              </w:rPr>
            </w:pPr>
            <w:r>
              <w:rPr>
                <w:szCs w:val="21"/>
              </w:rPr>
              <w:t>《大气污染物综合排放标准》（DB32/4041-2021）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393" w:type="dxa"/>
            <w:vMerge w:val="continue"/>
            <w:vAlign w:val="center"/>
          </w:tcPr>
          <w:p>
            <w:pPr>
              <w:adjustRightInd w:val="0"/>
              <w:snapToGrid w:val="0"/>
              <w:jc w:val="center"/>
              <w:rPr>
                <w:szCs w:val="21"/>
              </w:rPr>
            </w:pPr>
          </w:p>
        </w:tc>
        <w:tc>
          <w:tcPr>
            <w:tcW w:w="688" w:type="dxa"/>
            <w:vMerge w:val="continue"/>
            <w:vAlign w:val="center"/>
          </w:tcPr>
          <w:p>
            <w:pPr>
              <w:adjustRightInd w:val="0"/>
              <w:snapToGrid w:val="0"/>
              <w:jc w:val="center"/>
              <w:rPr>
                <w:szCs w:val="21"/>
              </w:rPr>
            </w:pPr>
          </w:p>
        </w:tc>
        <w:tc>
          <w:tcPr>
            <w:tcW w:w="937" w:type="dxa"/>
            <w:vAlign w:val="center"/>
          </w:tcPr>
          <w:p>
            <w:pPr>
              <w:adjustRightInd w:val="0"/>
              <w:snapToGrid w:val="0"/>
              <w:jc w:val="center"/>
              <w:rPr>
                <w:color w:val="000000"/>
                <w:szCs w:val="21"/>
              </w:rPr>
            </w:pPr>
            <w:r>
              <w:rPr>
                <w:rFonts w:hint="eastAsia"/>
                <w:color w:val="000000"/>
                <w:szCs w:val="21"/>
              </w:rPr>
              <w:t>DA002</w:t>
            </w:r>
          </w:p>
        </w:tc>
        <w:tc>
          <w:tcPr>
            <w:tcW w:w="1263" w:type="dxa"/>
            <w:vMerge w:val="continue"/>
            <w:vAlign w:val="center"/>
          </w:tcPr>
          <w:p>
            <w:pPr>
              <w:pStyle w:val="38"/>
              <w:tabs>
                <w:tab w:val="left" w:pos="0"/>
              </w:tabs>
              <w:spacing w:before="24" w:after="24" w:line="240" w:lineRule="auto"/>
              <w:ind w:firstLine="0"/>
              <w:rPr>
                <w:rFonts w:ascii="Times New Roman" w:eastAsia="宋体"/>
                <w:color w:val="000000"/>
                <w:spacing w:val="0"/>
                <w:szCs w:val="21"/>
              </w:rPr>
            </w:pPr>
          </w:p>
        </w:tc>
        <w:tc>
          <w:tcPr>
            <w:tcW w:w="2075" w:type="dxa"/>
            <w:vAlign w:val="center"/>
          </w:tcPr>
          <w:p>
            <w:pPr>
              <w:tabs>
                <w:tab w:val="left" w:pos="0"/>
              </w:tabs>
              <w:jc w:val="center"/>
              <w:rPr>
                <w:bCs/>
                <w:color w:val="000000"/>
                <w:szCs w:val="21"/>
              </w:rPr>
            </w:pPr>
            <w:r>
              <w:rPr>
                <w:rFonts w:hint="eastAsia"/>
                <w:bCs/>
                <w:color w:val="000000"/>
                <w:szCs w:val="21"/>
              </w:rPr>
              <w:t>经</w:t>
            </w:r>
            <w:r>
              <w:rPr>
                <w:bCs/>
                <w:color w:val="000000"/>
                <w:szCs w:val="21"/>
              </w:rPr>
              <w:t>收集后，经活性炭吸附装置处理后由15m高的</w:t>
            </w:r>
            <w:r>
              <w:rPr>
                <w:rFonts w:hint="eastAsia"/>
                <w:bCs/>
                <w:color w:val="000000"/>
                <w:szCs w:val="21"/>
              </w:rPr>
              <w:t>DA002</w:t>
            </w:r>
            <w:r>
              <w:rPr>
                <w:bCs/>
                <w:color w:val="000000"/>
                <w:szCs w:val="21"/>
              </w:rPr>
              <w:t>排气筒排放</w:t>
            </w:r>
          </w:p>
        </w:tc>
        <w:tc>
          <w:tcPr>
            <w:tcW w:w="2341" w:type="dxa"/>
            <w:vMerge w:val="continue"/>
            <w:vAlign w:val="center"/>
          </w:tcPr>
          <w:p>
            <w:pPr>
              <w:adjustRightInd w:val="0"/>
              <w:snapToGrid w:val="0"/>
              <w:jc w:val="center"/>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Merge w:val="continue"/>
            <w:vAlign w:val="center"/>
          </w:tcPr>
          <w:p>
            <w:pPr>
              <w:adjustRightInd w:val="0"/>
              <w:snapToGrid w:val="0"/>
              <w:jc w:val="center"/>
              <w:rPr>
                <w:szCs w:val="21"/>
              </w:rPr>
            </w:pPr>
          </w:p>
        </w:tc>
        <w:tc>
          <w:tcPr>
            <w:tcW w:w="688" w:type="dxa"/>
            <w:vMerge w:val="restart"/>
            <w:vAlign w:val="center"/>
          </w:tcPr>
          <w:p>
            <w:pPr>
              <w:adjustRightInd w:val="0"/>
              <w:snapToGrid w:val="0"/>
              <w:jc w:val="center"/>
              <w:rPr>
                <w:color w:val="000000"/>
                <w:szCs w:val="21"/>
              </w:rPr>
            </w:pPr>
            <w:r>
              <w:rPr>
                <w:rFonts w:hint="eastAsia"/>
                <w:szCs w:val="21"/>
              </w:rPr>
              <w:t>无组织</w:t>
            </w:r>
          </w:p>
        </w:tc>
        <w:tc>
          <w:tcPr>
            <w:tcW w:w="937" w:type="dxa"/>
            <w:vAlign w:val="center"/>
          </w:tcPr>
          <w:p>
            <w:pPr>
              <w:adjustRightInd w:val="0"/>
              <w:snapToGrid w:val="0"/>
              <w:jc w:val="center"/>
              <w:rPr>
                <w:szCs w:val="21"/>
              </w:rPr>
            </w:pPr>
            <w:r>
              <w:rPr>
                <w:rFonts w:hint="eastAsia"/>
                <w:szCs w:val="21"/>
              </w:rPr>
              <w:t>车间内</w:t>
            </w:r>
          </w:p>
        </w:tc>
        <w:tc>
          <w:tcPr>
            <w:tcW w:w="1263" w:type="dxa"/>
            <w:vMerge w:val="restart"/>
            <w:vAlign w:val="center"/>
          </w:tcPr>
          <w:p>
            <w:pPr>
              <w:pStyle w:val="38"/>
              <w:tabs>
                <w:tab w:val="left" w:pos="0"/>
              </w:tabs>
              <w:spacing w:before="24" w:after="24" w:line="240" w:lineRule="auto"/>
              <w:ind w:firstLine="0"/>
              <w:rPr>
                <w:rFonts w:ascii="Times New Roman" w:eastAsia="宋体"/>
                <w:color w:val="000000"/>
                <w:spacing w:val="0"/>
                <w:szCs w:val="21"/>
              </w:rPr>
            </w:pPr>
            <w:r>
              <w:rPr>
                <w:rFonts w:ascii="Times New Roman" w:eastAsia="宋体"/>
                <w:color w:val="000000"/>
                <w:spacing w:val="0"/>
                <w:szCs w:val="21"/>
              </w:rPr>
              <w:t>非甲烷总烃</w:t>
            </w:r>
          </w:p>
        </w:tc>
        <w:tc>
          <w:tcPr>
            <w:tcW w:w="2075" w:type="dxa"/>
            <w:vAlign w:val="center"/>
          </w:tcPr>
          <w:p>
            <w:pPr>
              <w:tabs>
                <w:tab w:val="left" w:pos="0"/>
              </w:tabs>
              <w:jc w:val="center"/>
              <w:rPr>
                <w:bCs/>
                <w:color w:val="000000"/>
                <w:szCs w:val="21"/>
              </w:rPr>
            </w:pPr>
            <w:r>
              <w:rPr>
                <w:rFonts w:hint="eastAsia"/>
                <w:bCs/>
                <w:color w:val="000000"/>
                <w:szCs w:val="21"/>
              </w:rPr>
              <w:t>加强通风</w:t>
            </w:r>
          </w:p>
        </w:tc>
        <w:tc>
          <w:tcPr>
            <w:tcW w:w="2341" w:type="dxa"/>
            <w:vMerge w:val="continue"/>
            <w:vAlign w:val="center"/>
          </w:tcPr>
          <w:p>
            <w:pPr>
              <w:adjustRightInd w:val="0"/>
              <w:snapToGrid w:val="0"/>
              <w:jc w:val="center"/>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Merge w:val="continue"/>
            <w:vAlign w:val="center"/>
          </w:tcPr>
          <w:p>
            <w:pPr>
              <w:adjustRightInd w:val="0"/>
              <w:snapToGrid w:val="0"/>
              <w:jc w:val="center"/>
              <w:rPr>
                <w:szCs w:val="21"/>
              </w:rPr>
            </w:pPr>
          </w:p>
        </w:tc>
        <w:tc>
          <w:tcPr>
            <w:tcW w:w="688" w:type="dxa"/>
            <w:vMerge w:val="continue"/>
            <w:vAlign w:val="center"/>
          </w:tcPr>
          <w:p>
            <w:pPr>
              <w:adjustRightInd w:val="0"/>
              <w:snapToGrid w:val="0"/>
              <w:jc w:val="center"/>
              <w:rPr>
                <w:color w:val="000000"/>
                <w:szCs w:val="21"/>
              </w:rPr>
            </w:pPr>
          </w:p>
        </w:tc>
        <w:tc>
          <w:tcPr>
            <w:tcW w:w="937" w:type="dxa"/>
            <w:vAlign w:val="center"/>
          </w:tcPr>
          <w:p>
            <w:pPr>
              <w:adjustRightInd w:val="0"/>
              <w:snapToGrid w:val="0"/>
              <w:jc w:val="center"/>
              <w:rPr>
                <w:szCs w:val="21"/>
              </w:rPr>
            </w:pPr>
            <w:r>
              <w:rPr>
                <w:rFonts w:hint="eastAsia"/>
                <w:szCs w:val="21"/>
              </w:rPr>
              <w:t>厂界</w:t>
            </w:r>
          </w:p>
        </w:tc>
        <w:tc>
          <w:tcPr>
            <w:tcW w:w="1263" w:type="dxa"/>
            <w:vMerge w:val="continue"/>
            <w:vAlign w:val="center"/>
          </w:tcPr>
          <w:p>
            <w:pPr>
              <w:pStyle w:val="38"/>
              <w:tabs>
                <w:tab w:val="left" w:pos="0"/>
              </w:tabs>
              <w:spacing w:before="24" w:after="24" w:line="240" w:lineRule="auto"/>
              <w:ind w:firstLine="0"/>
              <w:rPr>
                <w:rFonts w:ascii="Times New Roman" w:eastAsia="宋体"/>
                <w:color w:val="000000"/>
                <w:spacing w:val="0"/>
                <w:szCs w:val="21"/>
              </w:rPr>
            </w:pPr>
          </w:p>
        </w:tc>
        <w:tc>
          <w:tcPr>
            <w:tcW w:w="2075" w:type="dxa"/>
            <w:vAlign w:val="center"/>
          </w:tcPr>
          <w:p>
            <w:pPr>
              <w:tabs>
                <w:tab w:val="left" w:pos="0"/>
              </w:tabs>
              <w:jc w:val="center"/>
              <w:rPr>
                <w:bCs/>
                <w:color w:val="000000"/>
                <w:szCs w:val="21"/>
              </w:rPr>
            </w:pPr>
            <w:r>
              <w:rPr>
                <w:rFonts w:hint="eastAsia"/>
                <w:bCs/>
                <w:color w:val="000000"/>
                <w:szCs w:val="21"/>
              </w:rPr>
              <w:t>加强通风</w:t>
            </w:r>
          </w:p>
        </w:tc>
        <w:tc>
          <w:tcPr>
            <w:tcW w:w="2341" w:type="dxa"/>
            <w:vMerge w:val="continue"/>
            <w:vAlign w:val="center"/>
          </w:tcPr>
          <w:p>
            <w:pPr>
              <w:adjustRightInd w:val="0"/>
              <w:snapToGrid w:val="0"/>
              <w:jc w:val="center"/>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Align w:val="center"/>
          </w:tcPr>
          <w:p>
            <w:pPr>
              <w:adjustRightInd w:val="0"/>
              <w:snapToGrid w:val="0"/>
              <w:jc w:val="center"/>
              <w:rPr>
                <w:szCs w:val="21"/>
              </w:rPr>
            </w:pPr>
            <w:r>
              <w:rPr>
                <w:szCs w:val="21"/>
              </w:rPr>
              <w:t>地表水环境</w:t>
            </w:r>
          </w:p>
        </w:tc>
        <w:tc>
          <w:tcPr>
            <w:tcW w:w="1625" w:type="dxa"/>
            <w:gridSpan w:val="2"/>
            <w:vAlign w:val="center"/>
          </w:tcPr>
          <w:p>
            <w:pPr>
              <w:pStyle w:val="38"/>
              <w:tabs>
                <w:tab w:val="left" w:pos="0"/>
              </w:tabs>
              <w:spacing w:before="24" w:after="24" w:line="240" w:lineRule="auto"/>
              <w:ind w:firstLine="0"/>
              <w:rPr>
                <w:rFonts w:ascii="Times New Roman" w:eastAsia="宋体"/>
                <w:color w:val="000000"/>
                <w:spacing w:val="0"/>
                <w:szCs w:val="21"/>
              </w:rPr>
            </w:pPr>
            <w:r>
              <w:rPr>
                <w:rFonts w:ascii="Times New Roman" w:eastAsia="宋体"/>
                <w:color w:val="000000"/>
                <w:spacing w:val="0"/>
                <w:szCs w:val="21"/>
              </w:rPr>
              <w:t>生活污水</w:t>
            </w:r>
          </w:p>
        </w:tc>
        <w:tc>
          <w:tcPr>
            <w:tcW w:w="1263" w:type="dxa"/>
            <w:vAlign w:val="center"/>
          </w:tcPr>
          <w:p>
            <w:pPr>
              <w:pStyle w:val="38"/>
              <w:tabs>
                <w:tab w:val="left" w:pos="0"/>
              </w:tabs>
              <w:snapToGrid/>
              <w:spacing w:before="24" w:after="24" w:line="240" w:lineRule="auto"/>
              <w:ind w:firstLine="0"/>
              <w:rPr>
                <w:rFonts w:ascii="Times New Roman" w:eastAsia="宋体"/>
                <w:color w:val="000000"/>
                <w:spacing w:val="0"/>
                <w:szCs w:val="21"/>
              </w:rPr>
            </w:pPr>
            <w:r>
              <w:rPr>
                <w:rFonts w:hint="eastAsia" w:ascii="Times New Roman" w:eastAsia="宋体"/>
                <w:color w:val="000000"/>
                <w:spacing w:val="0"/>
                <w:szCs w:val="21"/>
              </w:rPr>
              <w:t>pH、</w:t>
            </w:r>
            <w:r>
              <w:rPr>
                <w:rFonts w:ascii="Times New Roman" w:eastAsia="宋体"/>
                <w:color w:val="000000"/>
                <w:spacing w:val="0"/>
                <w:szCs w:val="21"/>
              </w:rPr>
              <w:t>COD、SS、氨氮、总氮、总磷</w:t>
            </w:r>
          </w:p>
        </w:tc>
        <w:tc>
          <w:tcPr>
            <w:tcW w:w="2075" w:type="dxa"/>
            <w:vAlign w:val="center"/>
          </w:tcPr>
          <w:p>
            <w:pPr>
              <w:adjustRightInd w:val="0"/>
              <w:snapToGrid w:val="0"/>
              <w:jc w:val="center"/>
              <w:rPr>
                <w:color w:val="000000"/>
                <w:szCs w:val="21"/>
              </w:rPr>
            </w:pPr>
            <w:r>
              <w:rPr>
                <w:rFonts w:hint="eastAsia"/>
                <w:color w:val="000000"/>
                <w:szCs w:val="22"/>
              </w:rPr>
              <w:t>生活</w:t>
            </w:r>
            <w:r>
              <w:rPr>
                <w:color w:val="000000"/>
                <w:szCs w:val="22"/>
              </w:rPr>
              <w:t>污水通过市政污水管网接入</w:t>
            </w:r>
            <w:r>
              <w:rPr>
                <w:rFonts w:hint="eastAsia"/>
                <w:color w:val="000000"/>
                <w:szCs w:val="22"/>
              </w:rPr>
              <w:t>科技城水质净化厂</w:t>
            </w:r>
            <w:r>
              <w:rPr>
                <w:color w:val="000000"/>
                <w:szCs w:val="22"/>
              </w:rPr>
              <w:t>进行处理</w:t>
            </w:r>
          </w:p>
        </w:tc>
        <w:tc>
          <w:tcPr>
            <w:tcW w:w="2341" w:type="dxa"/>
            <w:vAlign w:val="center"/>
          </w:tcPr>
          <w:p>
            <w:pPr>
              <w:pStyle w:val="51"/>
              <w:tabs>
                <w:tab w:val="left" w:pos="0"/>
              </w:tabs>
              <w:rPr>
                <w:sz w:val="21"/>
                <w:szCs w:val="21"/>
              </w:rPr>
            </w:pPr>
            <w:r>
              <w:rPr>
                <w:sz w:val="21"/>
                <w:szCs w:val="21"/>
              </w:rPr>
              <w:t>满足</w:t>
            </w:r>
            <w:r>
              <w:rPr>
                <w:rFonts w:hint="eastAsia"/>
                <w:sz w:val="21"/>
                <w:szCs w:val="21"/>
              </w:rPr>
              <w:t>科技城水质净化厂</w:t>
            </w:r>
            <w:r>
              <w:rPr>
                <w:sz w:val="21"/>
                <w:szCs w:val="21"/>
              </w:rPr>
              <w:t>接管要求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393" w:type="dxa"/>
            <w:vAlign w:val="center"/>
          </w:tcPr>
          <w:p>
            <w:pPr>
              <w:adjustRightInd w:val="0"/>
              <w:snapToGrid w:val="0"/>
              <w:jc w:val="center"/>
              <w:rPr>
                <w:szCs w:val="21"/>
              </w:rPr>
            </w:pPr>
            <w:r>
              <w:rPr>
                <w:szCs w:val="21"/>
              </w:rPr>
              <w:t>声环境</w:t>
            </w:r>
          </w:p>
        </w:tc>
        <w:tc>
          <w:tcPr>
            <w:tcW w:w="2888" w:type="dxa"/>
            <w:gridSpan w:val="3"/>
            <w:vAlign w:val="center"/>
          </w:tcPr>
          <w:p>
            <w:pPr>
              <w:adjustRightInd w:val="0"/>
              <w:snapToGrid w:val="0"/>
              <w:jc w:val="center"/>
              <w:rPr>
                <w:szCs w:val="21"/>
              </w:rPr>
            </w:pPr>
            <w:r>
              <w:rPr>
                <w:szCs w:val="21"/>
              </w:rPr>
              <w:t>印刷机、贴片机、清洗机、</w:t>
            </w:r>
            <w:r>
              <w:rPr>
                <w:rFonts w:hint="eastAsia"/>
                <w:szCs w:val="21"/>
              </w:rPr>
              <w:t>回流焊</w:t>
            </w:r>
            <w:r>
              <w:rPr>
                <w:szCs w:val="21"/>
              </w:rPr>
              <w:t>、空压机、风机等</w:t>
            </w:r>
          </w:p>
        </w:tc>
        <w:tc>
          <w:tcPr>
            <w:tcW w:w="2075" w:type="dxa"/>
            <w:vAlign w:val="center"/>
          </w:tcPr>
          <w:p>
            <w:pPr>
              <w:adjustRightInd w:val="0"/>
              <w:snapToGrid w:val="0"/>
              <w:jc w:val="center"/>
              <w:rPr>
                <w:szCs w:val="21"/>
              </w:rPr>
            </w:pPr>
            <w:r>
              <w:rPr>
                <w:szCs w:val="21"/>
              </w:rPr>
              <w:t>采取厂房隔声、减振垫等措施</w:t>
            </w:r>
          </w:p>
        </w:tc>
        <w:tc>
          <w:tcPr>
            <w:tcW w:w="2341" w:type="dxa"/>
            <w:vAlign w:val="center"/>
          </w:tcPr>
          <w:p>
            <w:pPr>
              <w:adjustRightInd w:val="0"/>
              <w:snapToGrid w:val="0"/>
              <w:jc w:val="center"/>
              <w:rPr>
                <w:szCs w:val="21"/>
              </w:rPr>
            </w:pPr>
            <w:r>
              <w:rPr>
                <w:szCs w:val="21"/>
              </w:rPr>
              <w:t>《工业企业厂界环境噪声排放标准》（GB12348-2008）3类标准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3" w:type="dxa"/>
            <w:vAlign w:val="center"/>
          </w:tcPr>
          <w:p>
            <w:pPr>
              <w:adjustRightInd w:val="0"/>
              <w:snapToGrid w:val="0"/>
              <w:jc w:val="center"/>
              <w:rPr>
                <w:szCs w:val="21"/>
              </w:rPr>
            </w:pPr>
            <w:r>
              <w:rPr>
                <w:szCs w:val="21"/>
              </w:rPr>
              <w:t>电磁辐射</w:t>
            </w:r>
          </w:p>
        </w:tc>
        <w:tc>
          <w:tcPr>
            <w:tcW w:w="7304" w:type="dxa"/>
            <w:gridSpan w:val="5"/>
            <w:vAlign w:val="center"/>
          </w:tcPr>
          <w:p>
            <w:pPr>
              <w:adjustRightInd w:val="0"/>
              <w:snapToGrid w:val="0"/>
              <w:jc w:val="center"/>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Merge w:val="restart"/>
            <w:vAlign w:val="center"/>
          </w:tcPr>
          <w:p>
            <w:pPr>
              <w:adjustRightInd w:val="0"/>
              <w:snapToGrid w:val="0"/>
              <w:jc w:val="center"/>
              <w:rPr>
                <w:szCs w:val="21"/>
              </w:rPr>
            </w:pPr>
            <w:r>
              <w:rPr>
                <w:szCs w:val="21"/>
              </w:rPr>
              <w:t>固体废物</w:t>
            </w:r>
          </w:p>
        </w:tc>
        <w:tc>
          <w:tcPr>
            <w:tcW w:w="1625" w:type="dxa"/>
            <w:gridSpan w:val="2"/>
            <w:vAlign w:val="center"/>
          </w:tcPr>
          <w:p>
            <w:pPr>
              <w:pStyle w:val="51"/>
              <w:tabs>
                <w:tab w:val="left" w:pos="0"/>
              </w:tabs>
              <w:rPr>
                <w:sz w:val="21"/>
                <w:szCs w:val="21"/>
              </w:rPr>
            </w:pPr>
            <w:r>
              <w:rPr>
                <w:sz w:val="21"/>
                <w:szCs w:val="21"/>
              </w:rPr>
              <w:t>生活垃圾</w:t>
            </w:r>
          </w:p>
        </w:tc>
        <w:tc>
          <w:tcPr>
            <w:tcW w:w="1263" w:type="dxa"/>
            <w:vAlign w:val="center"/>
          </w:tcPr>
          <w:p>
            <w:pPr>
              <w:pStyle w:val="51"/>
              <w:tabs>
                <w:tab w:val="left" w:pos="0"/>
              </w:tabs>
              <w:rPr>
                <w:sz w:val="21"/>
                <w:szCs w:val="21"/>
              </w:rPr>
            </w:pPr>
            <w:r>
              <w:rPr>
                <w:sz w:val="21"/>
                <w:szCs w:val="21"/>
              </w:rPr>
              <w:t>生活垃圾</w:t>
            </w:r>
          </w:p>
        </w:tc>
        <w:tc>
          <w:tcPr>
            <w:tcW w:w="2075" w:type="dxa"/>
            <w:vAlign w:val="center"/>
          </w:tcPr>
          <w:p>
            <w:pPr>
              <w:pStyle w:val="51"/>
              <w:tabs>
                <w:tab w:val="left" w:pos="0"/>
              </w:tabs>
              <w:rPr>
                <w:sz w:val="21"/>
                <w:szCs w:val="21"/>
              </w:rPr>
            </w:pPr>
            <w:r>
              <w:rPr>
                <w:sz w:val="21"/>
                <w:szCs w:val="21"/>
              </w:rPr>
              <w:t>环卫清运</w:t>
            </w:r>
          </w:p>
        </w:tc>
        <w:tc>
          <w:tcPr>
            <w:tcW w:w="2341" w:type="dxa"/>
            <w:vMerge w:val="restart"/>
            <w:vAlign w:val="center"/>
          </w:tcPr>
          <w:p>
            <w:pPr>
              <w:adjustRightInd w:val="0"/>
              <w:snapToGrid w:val="0"/>
              <w:jc w:val="center"/>
              <w:rPr>
                <w:szCs w:val="21"/>
              </w:rPr>
            </w:pPr>
            <w:r>
              <w:rPr>
                <w:szCs w:val="21"/>
              </w:rPr>
              <w:t>零排放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Merge w:val="continue"/>
            <w:vAlign w:val="center"/>
          </w:tcPr>
          <w:p>
            <w:pPr>
              <w:adjustRightInd w:val="0"/>
              <w:snapToGrid w:val="0"/>
              <w:jc w:val="center"/>
              <w:rPr>
                <w:szCs w:val="21"/>
                <w:highlight w:val="yellow"/>
              </w:rPr>
            </w:pPr>
          </w:p>
        </w:tc>
        <w:tc>
          <w:tcPr>
            <w:tcW w:w="1625" w:type="dxa"/>
            <w:gridSpan w:val="2"/>
            <w:vMerge w:val="restart"/>
            <w:vAlign w:val="center"/>
          </w:tcPr>
          <w:p>
            <w:pPr>
              <w:pStyle w:val="51"/>
              <w:tabs>
                <w:tab w:val="left" w:pos="0"/>
              </w:tabs>
              <w:rPr>
                <w:sz w:val="21"/>
                <w:szCs w:val="21"/>
              </w:rPr>
            </w:pPr>
            <w:r>
              <w:rPr>
                <w:sz w:val="21"/>
                <w:szCs w:val="21"/>
              </w:rPr>
              <w:t>一般固废</w:t>
            </w:r>
          </w:p>
        </w:tc>
        <w:tc>
          <w:tcPr>
            <w:tcW w:w="1263" w:type="dxa"/>
            <w:vAlign w:val="center"/>
          </w:tcPr>
          <w:p>
            <w:pPr>
              <w:tabs>
                <w:tab w:val="left" w:pos="0"/>
              </w:tabs>
              <w:adjustRightInd w:val="0"/>
              <w:snapToGrid w:val="0"/>
              <w:jc w:val="center"/>
              <w:textAlignment w:val="baseline"/>
              <w:rPr>
                <w:szCs w:val="21"/>
              </w:rPr>
            </w:pPr>
            <w:r>
              <w:rPr>
                <w:spacing w:val="4"/>
              </w:rPr>
              <w:t>一般废包装</w:t>
            </w:r>
          </w:p>
        </w:tc>
        <w:tc>
          <w:tcPr>
            <w:tcW w:w="2075" w:type="dxa"/>
            <w:vAlign w:val="center"/>
          </w:tcPr>
          <w:p>
            <w:pPr>
              <w:tabs>
                <w:tab w:val="left" w:pos="0"/>
              </w:tabs>
              <w:adjustRightInd w:val="0"/>
              <w:snapToGrid w:val="0"/>
              <w:jc w:val="center"/>
              <w:textAlignment w:val="baseline"/>
              <w:rPr>
                <w:szCs w:val="21"/>
              </w:rPr>
            </w:pPr>
            <w:r>
              <w:rPr>
                <w:szCs w:val="21"/>
              </w:rPr>
              <w:t>综合利用</w:t>
            </w:r>
          </w:p>
        </w:tc>
        <w:tc>
          <w:tcPr>
            <w:tcW w:w="2341" w:type="dxa"/>
            <w:vMerge w:val="continue"/>
            <w:vAlign w:val="center"/>
          </w:tcPr>
          <w:p>
            <w:pPr>
              <w:adjustRightInd w:val="0"/>
              <w:snapToGrid w:val="0"/>
              <w:jc w:val="center"/>
              <w:rPr>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393" w:type="dxa"/>
            <w:vMerge w:val="continue"/>
            <w:vAlign w:val="center"/>
          </w:tcPr>
          <w:p>
            <w:pPr>
              <w:adjustRightInd w:val="0"/>
              <w:snapToGrid w:val="0"/>
              <w:jc w:val="center"/>
              <w:rPr>
                <w:szCs w:val="21"/>
                <w:highlight w:val="yellow"/>
              </w:rPr>
            </w:pPr>
          </w:p>
        </w:tc>
        <w:tc>
          <w:tcPr>
            <w:tcW w:w="1625" w:type="dxa"/>
            <w:gridSpan w:val="2"/>
            <w:vMerge w:val="continue"/>
            <w:vAlign w:val="center"/>
          </w:tcPr>
          <w:p>
            <w:pPr>
              <w:pStyle w:val="51"/>
              <w:tabs>
                <w:tab w:val="left" w:pos="0"/>
              </w:tabs>
              <w:rPr>
                <w:sz w:val="21"/>
                <w:szCs w:val="21"/>
              </w:rPr>
            </w:pPr>
          </w:p>
        </w:tc>
        <w:tc>
          <w:tcPr>
            <w:tcW w:w="1263" w:type="dxa"/>
            <w:vAlign w:val="center"/>
          </w:tcPr>
          <w:p>
            <w:pPr>
              <w:tabs>
                <w:tab w:val="left" w:pos="0"/>
              </w:tabs>
              <w:adjustRightInd w:val="0"/>
              <w:snapToGrid w:val="0"/>
              <w:jc w:val="center"/>
              <w:textAlignment w:val="baseline"/>
              <w:rPr>
                <w:kern w:val="0"/>
                <w:szCs w:val="21"/>
              </w:rPr>
            </w:pPr>
            <w:r>
              <w:rPr>
                <w:rFonts w:hint="eastAsia"/>
                <w:kern w:val="0"/>
                <w:szCs w:val="21"/>
              </w:rPr>
              <w:t>废锡膏</w:t>
            </w:r>
          </w:p>
        </w:tc>
        <w:tc>
          <w:tcPr>
            <w:tcW w:w="2075" w:type="dxa"/>
            <w:vAlign w:val="center"/>
          </w:tcPr>
          <w:p>
            <w:pPr>
              <w:pStyle w:val="51"/>
              <w:tabs>
                <w:tab w:val="left" w:pos="0"/>
              </w:tabs>
              <w:rPr>
                <w:sz w:val="21"/>
                <w:szCs w:val="21"/>
              </w:rPr>
            </w:pPr>
            <w:r>
              <w:rPr>
                <w:sz w:val="21"/>
                <w:szCs w:val="21"/>
              </w:rPr>
              <w:t>综合利用</w:t>
            </w:r>
          </w:p>
        </w:tc>
        <w:tc>
          <w:tcPr>
            <w:tcW w:w="2341" w:type="dxa"/>
            <w:vMerge w:val="continue"/>
            <w:vAlign w:val="center"/>
          </w:tcPr>
          <w:p>
            <w:pPr>
              <w:adjustRightInd w:val="0"/>
              <w:snapToGrid w:val="0"/>
              <w:jc w:val="center"/>
              <w:rPr>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393" w:type="dxa"/>
            <w:vMerge w:val="continue"/>
            <w:vAlign w:val="center"/>
          </w:tcPr>
          <w:p>
            <w:pPr>
              <w:adjustRightInd w:val="0"/>
              <w:snapToGrid w:val="0"/>
              <w:jc w:val="center"/>
              <w:rPr>
                <w:szCs w:val="21"/>
                <w:highlight w:val="yellow"/>
              </w:rPr>
            </w:pPr>
          </w:p>
        </w:tc>
        <w:tc>
          <w:tcPr>
            <w:tcW w:w="1625" w:type="dxa"/>
            <w:gridSpan w:val="2"/>
            <w:vMerge w:val="restart"/>
            <w:vAlign w:val="center"/>
          </w:tcPr>
          <w:p>
            <w:pPr>
              <w:pStyle w:val="51"/>
              <w:tabs>
                <w:tab w:val="left" w:pos="0"/>
              </w:tabs>
              <w:rPr>
                <w:sz w:val="21"/>
                <w:szCs w:val="21"/>
              </w:rPr>
            </w:pPr>
            <w:r>
              <w:rPr>
                <w:sz w:val="21"/>
                <w:szCs w:val="21"/>
              </w:rPr>
              <w:t>危险废物</w:t>
            </w:r>
          </w:p>
        </w:tc>
        <w:tc>
          <w:tcPr>
            <w:tcW w:w="1263" w:type="dxa"/>
            <w:vAlign w:val="center"/>
          </w:tcPr>
          <w:p>
            <w:pPr>
              <w:pStyle w:val="61"/>
              <w:rPr>
                <w:kern w:val="0"/>
                <w:szCs w:val="21"/>
              </w:rPr>
            </w:pPr>
            <w:r>
              <w:rPr>
                <w:rFonts w:hint="eastAsia"/>
                <w:color w:val="000000"/>
                <w:szCs w:val="21"/>
              </w:rPr>
              <w:t>清洗废液</w:t>
            </w:r>
          </w:p>
        </w:tc>
        <w:tc>
          <w:tcPr>
            <w:tcW w:w="2075" w:type="dxa"/>
            <w:vMerge w:val="restart"/>
            <w:vAlign w:val="center"/>
          </w:tcPr>
          <w:p>
            <w:pPr>
              <w:pStyle w:val="51"/>
              <w:tabs>
                <w:tab w:val="left" w:pos="0"/>
              </w:tabs>
              <w:rPr>
                <w:sz w:val="21"/>
                <w:szCs w:val="21"/>
              </w:rPr>
            </w:pPr>
            <w:r>
              <w:rPr>
                <w:sz w:val="21"/>
                <w:szCs w:val="21"/>
              </w:rPr>
              <w:t>暂存于危废暂存间中，定期委托资质单位处置</w:t>
            </w:r>
          </w:p>
        </w:tc>
        <w:tc>
          <w:tcPr>
            <w:tcW w:w="2341" w:type="dxa"/>
            <w:vMerge w:val="continue"/>
            <w:vAlign w:val="center"/>
          </w:tcPr>
          <w:p>
            <w:pPr>
              <w:adjustRightInd w:val="0"/>
              <w:snapToGrid w:val="0"/>
              <w:jc w:val="center"/>
              <w:rPr>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3" w:type="dxa"/>
            <w:vMerge w:val="continue"/>
            <w:vAlign w:val="center"/>
          </w:tcPr>
          <w:p>
            <w:pPr>
              <w:adjustRightInd w:val="0"/>
              <w:snapToGrid w:val="0"/>
              <w:jc w:val="center"/>
              <w:rPr>
                <w:szCs w:val="21"/>
                <w:highlight w:val="yellow"/>
              </w:rPr>
            </w:pPr>
          </w:p>
        </w:tc>
        <w:tc>
          <w:tcPr>
            <w:tcW w:w="1625" w:type="dxa"/>
            <w:gridSpan w:val="2"/>
            <w:vMerge w:val="continue"/>
            <w:vAlign w:val="center"/>
          </w:tcPr>
          <w:p>
            <w:pPr>
              <w:pStyle w:val="51"/>
              <w:tabs>
                <w:tab w:val="left" w:pos="0"/>
              </w:tabs>
              <w:rPr>
                <w:sz w:val="21"/>
                <w:szCs w:val="21"/>
              </w:rPr>
            </w:pPr>
          </w:p>
        </w:tc>
        <w:tc>
          <w:tcPr>
            <w:tcW w:w="1263" w:type="dxa"/>
            <w:vAlign w:val="center"/>
          </w:tcPr>
          <w:p>
            <w:pPr>
              <w:pStyle w:val="61"/>
              <w:rPr>
                <w:spacing w:val="4"/>
              </w:rPr>
            </w:pPr>
            <w:r>
              <w:rPr>
                <w:color w:val="000000"/>
                <w:szCs w:val="21"/>
              </w:rPr>
              <w:t>废擦拭纸</w:t>
            </w:r>
          </w:p>
        </w:tc>
        <w:tc>
          <w:tcPr>
            <w:tcW w:w="2075" w:type="dxa"/>
            <w:vMerge w:val="continue"/>
            <w:vAlign w:val="center"/>
          </w:tcPr>
          <w:p>
            <w:pPr>
              <w:pStyle w:val="51"/>
              <w:tabs>
                <w:tab w:val="left" w:pos="0"/>
              </w:tabs>
              <w:rPr>
                <w:sz w:val="21"/>
                <w:szCs w:val="21"/>
              </w:rPr>
            </w:pPr>
          </w:p>
        </w:tc>
        <w:tc>
          <w:tcPr>
            <w:tcW w:w="2341" w:type="dxa"/>
            <w:vMerge w:val="continue"/>
            <w:vAlign w:val="center"/>
          </w:tcPr>
          <w:p>
            <w:pPr>
              <w:adjustRightInd w:val="0"/>
              <w:snapToGrid w:val="0"/>
              <w:jc w:val="center"/>
              <w:rPr>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393" w:type="dxa"/>
            <w:vMerge w:val="continue"/>
            <w:vAlign w:val="center"/>
          </w:tcPr>
          <w:p>
            <w:pPr>
              <w:adjustRightInd w:val="0"/>
              <w:snapToGrid w:val="0"/>
              <w:jc w:val="center"/>
              <w:rPr>
                <w:szCs w:val="21"/>
                <w:highlight w:val="yellow"/>
              </w:rPr>
            </w:pPr>
          </w:p>
        </w:tc>
        <w:tc>
          <w:tcPr>
            <w:tcW w:w="1625" w:type="dxa"/>
            <w:gridSpan w:val="2"/>
            <w:vMerge w:val="continue"/>
            <w:vAlign w:val="center"/>
          </w:tcPr>
          <w:p>
            <w:pPr>
              <w:pStyle w:val="51"/>
              <w:tabs>
                <w:tab w:val="left" w:pos="0"/>
              </w:tabs>
              <w:rPr>
                <w:sz w:val="21"/>
                <w:szCs w:val="21"/>
              </w:rPr>
            </w:pPr>
          </w:p>
        </w:tc>
        <w:tc>
          <w:tcPr>
            <w:tcW w:w="1263" w:type="dxa"/>
            <w:vAlign w:val="center"/>
          </w:tcPr>
          <w:p>
            <w:pPr>
              <w:pStyle w:val="61"/>
              <w:rPr>
                <w:spacing w:val="4"/>
              </w:rPr>
            </w:pPr>
            <w:r>
              <w:rPr>
                <w:rFonts w:hint="eastAsia"/>
                <w:color w:val="000000"/>
                <w:szCs w:val="21"/>
              </w:rPr>
              <w:t>废包装桶</w:t>
            </w:r>
          </w:p>
        </w:tc>
        <w:tc>
          <w:tcPr>
            <w:tcW w:w="2075" w:type="dxa"/>
            <w:vMerge w:val="continue"/>
            <w:vAlign w:val="center"/>
          </w:tcPr>
          <w:p>
            <w:pPr>
              <w:pStyle w:val="51"/>
              <w:tabs>
                <w:tab w:val="left" w:pos="0"/>
              </w:tabs>
              <w:rPr>
                <w:sz w:val="21"/>
                <w:szCs w:val="21"/>
              </w:rPr>
            </w:pPr>
          </w:p>
        </w:tc>
        <w:tc>
          <w:tcPr>
            <w:tcW w:w="2341" w:type="dxa"/>
            <w:vMerge w:val="continue"/>
            <w:vAlign w:val="center"/>
          </w:tcPr>
          <w:p>
            <w:pPr>
              <w:adjustRightInd w:val="0"/>
              <w:snapToGrid w:val="0"/>
              <w:jc w:val="center"/>
              <w:rPr>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393" w:type="dxa"/>
            <w:vMerge w:val="continue"/>
            <w:vAlign w:val="center"/>
          </w:tcPr>
          <w:p>
            <w:pPr>
              <w:adjustRightInd w:val="0"/>
              <w:snapToGrid w:val="0"/>
              <w:jc w:val="center"/>
              <w:rPr>
                <w:szCs w:val="21"/>
                <w:highlight w:val="yellow"/>
              </w:rPr>
            </w:pPr>
          </w:p>
        </w:tc>
        <w:tc>
          <w:tcPr>
            <w:tcW w:w="1625" w:type="dxa"/>
            <w:gridSpan w:val="2"/>
            <w:vMerge w:val="continue"/>
            <w:vAlign w:val="center"/>
          </w:tcPr>
          <w:p>
            <w:pPr>
              <w:pStyle w:val="51"/>
              <w:tabs>
                <w:tab w:val="left" w:pos="0"/>
              </w:tabs>
              <w:rPr>
                <w:sz w:val="21"/>
                <w:szCs w:val="21"/>
              </w:rPr>
            </w:pPr>
          </w:p>
        </w:tc>
        <w:tc>
          <w:tcPr>
            <w:tcW w:w="1263" w:type="dxa"/>
            <w:vAlign w:val="center"/>
          </w:tcPr>
          <w:p>
            <w:pPr>
              <w:tabs>
                <w:tab w:val="left" w:pos="0"/>
              </w:tabs>
              <w:adjustRightInd w:val="0"/>
              <w:snapToGrid w:val="0"/>
              <w:jc w:val="center"/>
              <w:textAlignment w:val="baseline"/>
              <w:rPr>
                <w:spacing w:val="4"/>
              </w:rPr>
            </w:pPr>
            <w:r>
              <w:rPr>
                <w:color w:val="000000"/>
                <w:spacing w:val="4"/>
              </w:rPr>
              <w:t>废活性炭</w:t>
            </w:r>
          </w:p>
        </w:tc>
        <w:tc>
          <w:tcPr>
            <w:tcW w:w="2075" w:type="dxa"/>
            <w:vMerge w:val="continue"/>
            <w:vAlign w:val="center"/>
          </w:tcPr>
          <w:p>
            <w:pPr>
              <w:pStyle w:val="51"/>
              <w:tabs>
                <w:tab w:val="left" w:pos="0"/>
              </w:tabs>
              <w:rPr>
                <w:sz w:val="21"/>
                <w:szCs w:val="21"/>
              </w:rPr>
            </w:pPr>
          </w:p>
        </w:tc>
        <w:tc>
          <w:tcPr>
            <w:tcW w:w="2341" w:type="dxa"/>
            <w:vMerge w:val="continue"/>
            <w:vAlign w:val="center"/>
          </w:tcPr>
          <w:p>
            <w:pPr>
              <w:adjustRightInd w:val="0"/>
              <w:snapToGrid w:val="0"/>
              <w:jc w:val="center"/>
              <w:rPr>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Align w:val="center"/>
          </w:tcPr>
          <w:p>
            <w:pPr>
              <w:adjustRightInd w:val="0"/>
              <w:snapToGrid w:val="0"/>
              <w:jc w:val="center"/>
              <w:rPr>
                <w:szCs w:val="21"/>
              </w:rPr>
            </w:pPr>
            <w:r>
              <w:rPr>
                <w:szCs w:val="21"/>
              </w:rPr>
              <w:t>土壤及地下水</w:t>
            </w:r>
          </w:p>
          <w:p>
            <w:pPr>
              <w:adjustRightInd w:val="0"/>
              <w:snapToGrid w:val="0"/>
              <w:jc w:val="center"/>
              <w:rPr>
                <w:szCs w:val="21"/>
              </w:rPr>
            </w:pPr>
            <w:r>
              <w:rPr>
                <w:szCs w:val="21"/>
              </w:rPr>
              <w:t>污染防治措施</w:t>
            </w:r>
          </w:p>
        </w:tc>
        <w:tc>
          <w:tcPr>
            <w:tcW w:w="7304" w:type="dxa"/>
            <w:gridSpan w:val="5"/>
            <w:vAlign w:val="center"/>
          </w:tcPr>
          <w:p>
            <w:pPr>
              <w:adjustRightInd w:val="0"/>
              <w:snapToGrid w:val="0"/>
              <w:jc w:val="center"/>
              <w:rPr>
                <w:szCs w:val="21"/>
              </w:rPr>
            </w:pPr>
            <w:r>
              <w:rPr>
                <w:szCs w:val="21"/>
              </w:rPr>
              <w:t>化学品暂存处、危废暂存间等区域基础必须防渗，防渗层为至少1米厚粘土层（渗透系数≤10</w:t>
            </w:r>
            <w:r>
              <w:rPr>
                <w:szCs w:val="21"/>
                <w:vertAlign w:val="superscript"/>
              </w:rPr>
              <w:t>-7</w:t>
            </w:r>
            <w:r>
              <w:rPr>
                <w:szCs w:val="21"/>
              </w:rPr>
              <w:t>厘米/秒），或2毫米厚高密度聚乙烯，或至少2毫米厚的其它人工材料，渗透系数≤10</w:t>
            </w:r>
            <w:r>
              <w:rPr>
                <w:szCs w:val="21"/>
                <w:vertAlign w:val="superscript"/>
              </w:rPr>
              <w:t>-10</w:t>
            </w:r>
            <w:r>
              <w:rPr>
                <w:szCs w:val="21"/>
              </w:rPr>
              <w:t>厘米/秒。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93" w:type="dxa"/>
            <w:vAlign w:val="center"/>
          </w:tcPr>
          <w:p>
            <w:pPr>
              <w:adjustRightInd w:val="0"/>
              <w:snapToGrid w:val="0"/>
              <w:jc w:val="center"/>
              <w:rPr>
                <w:szCs w:val="21"/>
              </w:rPr>
            </w:pPr>
            <w:r>
              <w:rPr>
                <w:szCs w:val="21"/>
              </w:rPr>
              <w:t>生态保护措施</w:t>
            </w:r>
          </w:p>
        </w:tc>
        <w:tc>
          <w:tcPr>
            <w:tcW w:w="7304" w:type="dxa"/>
            <w:gridSpan w:val="5"/>
            <w:vAlign w:val="center"/>
          </w:tcPr>
          <w:p>
            <w:pPr>
              <w:adjustRightInd w:val="0"/>
              <w:snapToGrid w:val="0"/>
              <w:jc w:val="center"/>
              <w:rPr>
                <w:szCs w:val="21"/>
              </w:rPr>
            </w:pPr>
            <w:r>
              <w:rPr>
                <w:szCs w:val="21"/>
              </w:rPr>
              <w:t>通过运营期严格的污染防治措施，预计对周围生态环境影响较小。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1393" w:type="dxa"/>
            <w:vAlign w:val="center"/>
          </w:tcPr>
          <w:p>
            <w:pPr>
              <w:adjustRightInd w:val="0"/>
              <w:snapToGrid w:val="0"/>
              <w:jc w:val="center"/>
              <w:rPr>
                <w:szCs w:val="21"/>
              </w:rPr>
            </w:pPr>
            <w:r>
              <w:rPr>
                <w:szCs w:val="21"/>
              </w:rPr>
              <w:t>环境风险</w:t>
            </w:r>
          </w:p>
          <w:p>
            <w:pPr>
              <w:adjustRightInd w:val="0"/>
              <w:snapToGrid w:val="0"/>
              <w:jc w:val="center"/>
              <w:rPr>
                <w:szCs w:val="21"/>
              </w:rPr>
            </w:pPr>
            <w:r>
              <w:rPr>
                <w:szCs w:val="21"/>
              </w:rPr>
              <w:t>防范措施</w:t>
            </w:r>
          </w:p>
        </w:tc>
        <w:tc>
          <w:tcPr>
            <w:tcW w:w="7304" w:type="dxa"/>
            <w:gridSpan w:val="5"/>
            <w:vAlign w:val="center"/>
          </w:tcPr>
          <w:p>
            <w:pPr>
              <w:adjustRightInd w:val="0"/>
              <w:snapToGrid w:val="0"/>
              <w:jc w:val="left"/>
              <w:rPr>
                <w:szCs w:val="21"/>
              </w:rPr>
            </w:pPr>
            <w:r>
              <w:rPr>
                <w:szCs w:val="21"/>
              </w:rPr>
              <w:t>1</w:t>
            </w:r>
            <w:r>
              <w:rPr>
                <w:rFonts w:hint="eastAsia"/>
                <w:szCs w:val="21"/>
              </w:rPr>
              <w:t xml:space="preserve">、加强安全、消防和环保管理，建立健全环保、安全、消防各项制度，设置环保、安全、消防专门科室和管理人员，加强对人员的培训等措施，保证安全防护设施正常运行或处于良好的待命状态。严格按防火、防爆设计规范的要求进行设计，配置相应的灭火装置和设施，并保持完好。建立事故应急计划，设定事故预防措施、应急措施及事故善后处理措施，配备相关的安全生产和应急救援物资。 </w:t>
            </w:r>
          </w:p>
          <w:p>
            <w:pPr>
              <w:adjustRightInd w:val="0"/>
              <w:snapToGrid w:val="0"/>
              <w:jc w:val="left"/>
              <w:rPr>
                <w:szCs w:val="21"/>
              </w:rPr>
            </w:pPr>
            <w:r>
              <w:rPr>
                <w:szCs w:val="21"/>
              </w:rPr>
              <w:t>2</w:t>
            </w:r>
            <w:r>
              <w:rPr>
                <w:rFonts w:hint="eastAsia"/>
                <w:szCs w:val="21"/>
              </w:rPr>
              <w:t>、危险废物在外运前，危险废物的收集、暂存和保管均应符合《危险废物贮存污染控制标准》（</w:t>
            </w:r>
            <w:r>
              <w:rPr>
                <w:szCs w:val="21"/>
              </w:rPr>
              <w:t>GB18597-2023</w:t>
            </w:r>
            <w:r>
              <w:rPr>
                <w:rFonts w:hint="eastAsia"/>
                <w:szCs w:val="21"/>
              </w:rPr>
              <w:t xml:space="preserve">）要求。应设有专人专职负责危险废物的收集、暂存和保管，加强对危险废物的管理，保证得到及时处理，防止造成二次污染。固体废物处理处置前在厂内的堆放、贮存场所应按照国家固体废物贮存有关要求设置，危险废物应分类收集、贮存，防止危险废物与一般工业固体废物、生活垃圾混放后，引发危险废物的二次污染；各种固体废物在厂内堆放和转移输运过程应防止对环境造成影响，堆放场所采取防火、防扬散、防流失、防渗漏或者其他防止污染环境的措施后，降低对环境的影响。 </w:t>
            </w:r>
          </w:p>
          <w:p>
            <w:pPr>
              <w:adjustRightInd w:val="0"/>
              <w:snapToGrid w:val="0"/>
              <w:jc w:val="left"/>
              <w:rPr>
                <w:szCs w:val="21"/>
              </w:rPr>
            </w:pPr>
            <w:r>
              <w:rPr>
                <w:szCs w:val="21"/>
              </w:rPr>
              <w:t>3</w:t>
            </w:r>
            <w:r>
              <w:rPr>
                <w:rFonts w:hint="eastAsia"/>
                <w:szCs w:val="21"/>
              </w:rPr>
              <w:t>、实行雨污分流，设置雨水切断装置，由专人管理，确保不合格废水排出厂外。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393" w:type="dxa"/>
            <w:vAlign w:val="center"/>
          </w:tcPr>
          <w:p>
            <w:pPr>
              <w:adjustRightInd w:val="0"/>
              <w:snapToGrid w:val="0"/>
              <w:jc w:val="center"/>
              <w:rPr>
                <w:szCs w:val="21"/>
              </w:rPr>
            </w:pPr>
            <w:r>
              <w:rPr>
                <w:szCs w:val="21"/>
              </w:rPr>
              <w:t>其他环境</w:t>
            </w:r>
          </w:p>
          <w:p>
            <w:pPr>
              <w:adjustRightInd w:val="0"/>
              <w:snapToGrid w:val="0"/>
              <w:jc w:val="center"/>
              <w:rPr>
                <w:szCs w:val="21"/>
              </w:rPr>
            </w:pPr>
            <w:r>
              <w:rPr>
                <w:szCs w:val="21"/>
              </w:rPr>
              <w:t>管理要求</w:t>
            </w:r>
          </w:p>
        </w:tc>
        <w:tc>
          <w:tcPr>
            <w:tcW w:w="7304" w:type="dxa"/>
            <w:gridSpan w:val="5"/>
            <w:vAlign w:val="center"/>
          </w:tcPr>
          <w:p>
            <w:pPr>
              <w:adjustRightInd w:val="0"/>
              <w:snapToGrid w:val="0"/>
              <w:jc w:val="left"/>
              <w:rPr>
                <w:szCs w:val="21"/>
              </w:rPr>
            </w:pPr>
            <w:r>
              <w:rPr>
                <w:szCs w:val="21"/>
              </w:rPr>
              <w:t>1</w:t>
            </w:r>
            <w:r>
              <w:rPr>
                <w:rFonts w:hint="eastAsia"/>
                <w:szCs w:val="21"/>
              </w:rPr>
              <w:t xml:space="preserve">、排污许可证制度 </w:t>
            </w:r>
          </w:p>
          <w:p>
            <w:pPr>
              <w:adjustRightInd w:val="0"/>
              <w:snapToGrid w:val="0"/>
              <w:jc w:val="left"/>
              <w:rPr>
                <w:szCs w:val="21"/>
              </w:rPr>
            </w:pPr>
            <w:r>
              <w:rPr>
                <w:rFonts w:hint="eastAsia"/>
                <w:szCs w:val="21"/>
              </w:rPr>
              <w:t xml:space="preserve">建设单位应当在项目投入运营或使用并产生实际排污行为之前申请领取排污许可证。依法按照排污许可证申请与核发技术规范提交排污许可申请，申报排放污染物种类、排放浓度等，测算并申报污染物排放量。建设单位应当严格执行排污许可证的规定，禁止无证排污或不按证排污。 </w:t>
            </w:r>
          </w:p>
          <w:p>
            <w:pPr>
              <w:adjustRightInd w:val="0"/>
              <w:snapToGrid w:val="0"/>
              <w:jc w:val="left"/>
              <w:rPr>
                <w:szCs w:val="21"/>
              </w:rPr>
            </w:pPr>
            <w:r>
              <w:rPr>
                <w:szCs w:val="21"/>
              </w:rPr>
              <w:t>2</w:t>
            </w:r>
            <w:r>
              <w:rPr>
                <w:rFonts w:hint="eastAsia"/>
                <w:szCs w:val="21"/>
              </w:rPr>
              <w:t xml:space="preserve">、三同时制度 </w:t>
            </w:r>
          </w:p>
          <w:p>
            <w:pPr>
              <w:adjustRightInd w:val="0"/>
              <w:snapToGrid w:val="0"/>
              <w:jc w:val="left"/>
              <w:rPr>
                <w:szCs w:val="21"/>
              </w:rPr>
            </w:pPr>
            <w:r>
              <w:rPr>
                <w:rFonts w:hint="eastAsia"/>
                <w:szCs w:val="21"/>
              </w:rPr>
              <w:t xml:space="preserve">根据《建设项目环境保护管理条例》，建设项目需要配套建设的环境保护设施，必须与主体工程同时设计、同时施工、同时投产使用。项目竣工后，建设单位应当按照国务院环境保护行政主管部门规定的标准和程序，对配套建设的环境保护设施进行验收，编制验收报告。建设单位在环境保护设施验收过程中，应当如实查验、监测、记载建设项目环境保护设施的建设和调试情况，不得弄虚作假，验收报告应依法向社会公开。项目配套建设的环境保护设施经验收合格，方可投入生产或者使用。 </w:t>
            </w:r>
          </w:p>
          <w:p>
            <w:pPr>
              <w:adjustRightInd w:val="0"/>
              <w:snapToGrid w:val="0"/>
              <w:jc w:val="left"/>
              <w:rPr>
                <w:szCs w:val="21"/>
              </w:rPr>
            </w:pPr>
            <w:r>
              <w:rPr>
                <w:szCs w:val="21"/>
              </w:rPr>
              <w:t>3</w:t>
            </w:r>
            <w:r>
              <w:rPr>
                <w:rFonts w:hint="eastAsia"/>
                <w:szCs w:val="21"/>
              </w:rPr>
              <w:t xml:space="preserve">、信息公开 </w:t>
            </w:r>
          </w:p>
          <w:p>
            <w:pPr>
              <w:adjustRightInd w:val="0"/>
              <w:snapToGrid w:val="0"/>
              <w:jc w:val="left"/>
              <w:rPr>
                <w:szCs w:val="21"/>
              </w:rPr>
            </w:pPr>
            <w:r>
              <w:rPr>
                <w:rFonts w:hint="eastAsia"/>
                <w:szCs w:val="21"/>
              </w:rPr>
              <w:t xml:space="preserve">为维护公民、法人和其他组织依法享有获取环境信息的权利，促进企业事业单位如实向社会公开环境信息，推动公众参与和监督环境保护，根据《中华人民共和国环境保护法》、《环境信息公开办法（试行）》、《企业信息公示暂行条例》及《企业事业单位环境信息公开暂行办法》等有关法律法规，企业应建立健全环境信息公开工作的制度，公示企业有关环境信息。公开信息主要内容要求如下： </w:t>
            </w:r>
          </w:p>
          <w:p>
            <w:pPr>
              <w:adjustRightInd w:val="0"/>
              <w:snapToGrid w:val="0"/>
              <w:jc w:val="left"/>
              <w:rPr>
                <w:szCs w:val="21"/>
              </w:rPr>
            </w:pPr>
            <w:r>
              <w:rPr>
                <w:rFonts w:hint="eastAsia"/>
                <w:szCs w:val="21"/>
              </w:rPr>
              <w:t xml:space="preserve">①基础信息，包括单位名称、组织机构代码、法定代表人、生产地址、联系方式，以及生产经营和管理服务的主要内容、产品及规模；②排污信息，包括主要污染物及特征污染物的名称、排放方式、排放口数量和分布情况、排放浓度和总量、超标情况，以及执行的污染物排放标准、核定的排放总量；③防治污染设施的建设和运行情况；④建设项目环境影响评价及其他环境保护行政许可情况；⑤突发环境事件应急预案；⑥其他应当公开的环境信息。 </w:t>
            </w:r>
          </w:p>
          <w:p>
            <w:pPr>
              <w:adjustRightInd w:val="0"/>
              <w:snapToGrid w:val="0"/>
              <w:jc w:val="left"/>
              <w:rPr>
                <w:szCs w:val="21"/>
              </w:rPr>
            </w:pPr>
            <w:r>
              <w:rPr>
                <w:szCs w:val="21"/>
              </w:rPr>
              <w:t>4</w:t>
            </w:r>
            <w:r>
              <w:rPr>
                <w:rFonts w:hint="eastAsia"/>
                <w:szCs w:val="21"/>
              </w:rPr>
              <w:t xml:space="preserve">、排污口规范化 </w:t>
            </w:r>
          </w:p>
          <w:p>
            <w:pPr>
              <w:adjustRightInd w:val="0"/>
              <w:snapToGrid w:val="0"/>
              <w:jc w:val="left"/>
              <w:rPr>
                <w:szCs w:val="21"/>
              </w:rPr>
            </w:pPr>
            <w:r>
              <w:rPr>
                <w:rFonts w:hint="eastAsia"/>
                <w:szCs w:val="21"/>
              </w:rPr>
              <w:t xml:space="preserve">项目位于江苏省苏州高新区科技城昆仑山路 </w:t>
            </w:r>
            <w:r>
              <w:rPr>
                <w:szCs w:val="21"/>
              </w:rPr>
              <w:t xml:space="preserve">189 </w:t>
            </w:r>
            <w:r>
              <w:rPr>
                <w:rFonts w:hint="eastAsia"/>
                <w:szCs w:val="21"/>
              </w:rPr>
              <w:t>号，目前区域排污管网已接通。根据原国家环保总局《关于开展排放口规范化整治工作的通知》（环发〔</w:t>
            </w:r>
            <w:r>
              <w:rPr>
                <w:szCs w:val="21"/>
              </w:rPr>
              <w:t>1999</w:t>
            </w:r>
            <w:r>
              <w:rPr>
                <w:rFonts w:hint="eastAsia"/>
                <w:szCs w:val="21"/>
              </w:rPr>
              <w:t>〕</w:t>
            </w:r>
            <w:r>
              <w:rPr>
                <w:szCs w:val="21"/>
              </w:rPr>
              <w:t xml:space="preserve">24 </w:t>
            </w:r>
            <w:r>
              <w:rPr>
                <w:rFonts w:hint="eastAsia"/>
                <w:szCs w:val="21"/>
              </w:rPr>
              <w:t>号）中规定：一切新建、扩建、改建和限期治理的排污单位必须在建设污染治理设施的同时建设规范化排污口，并作为落实环境保护</w:t>
            </w:r>
            <w:r>
              <w:rPr>
                <w:szCs w:val="21"/>
              </w:rPr>
              <w:t>“</w:t>
            </w:r>
            <w:r>
              <w:rPr>
                <w:rFonts w:hint="eastAsia"/>
                <w:szCs w:val="21"/>
              </w:rPr>
              <w:t>三同时</w:t>
            </w:r>
            <w:r>
              <w:rPr>
                <w:szCs w:val="21"/>
              </w:rPr>
              <w:t>”</w:t>
            </w:r>
            <w:r>
              <w:rPr>
                <w:rFonts w:hint="eastAsia"/>
                <w:szCs w:val="21"/>
              </w:rPr>
              <w:t>制度的必要组成部分和项目验收的内容之一。因此，该项目必须要对其污染物排放口进行规范化管理。各污染源排放口应规范设置，应符合国家、省、市有关规定，并通过主管环保部门认证和验收。厂区</w:t>
            </w:r>
            <w:r>
              <w:rPr>
                <w:szCs w:val="21"/>
              </w:rPr>
              <w:t>“</w:t>
            </w:r>
            <w:r>
              <w:rPr>
                <w:rFonts w:hint="eastAsia"/>
                <w:szCs w:val="21"/>
              </w:rPr>
              <w:t>三废</w:t>
            </w:r>
            <w:r>
              <w:rPr>
                <w:szCs w:val="21"/>
              </w:rPr>
              <w:t>”</w:t>
            </w:r>
            <w:r>
              <w:rPr>
                <w:rFonts w:hint="eastAsia"/>
                <w:szCs w:val="21"/>
              </w:rPr>
              <w:t xml:space="preserve">及固体废物堆放处应设置明显的环保图形标 </w:t>
            </w:r>
          </w:p>
          <w:p>
            <w:pPr>
              <w:adjustRightInd w:val="0"/>
              <w:snapToGrid w:val="0"/>
              <w:jc w:val="left"/>
              <w:rPr>
                <w:szCs w:val="21"/>
              </w:rPr>
            </w:pPr>
            <w:r>
              <w:rPr>
                <w:rFonts w:hint="eastAsia"/>
                <w:szCs w:val="21"/>
              </w:rPr>
              <w:t>志，污染物排放口的环保图形标志牌应设置在靠近采样点的醒目处。目前项目各排污口均按照规范要求进行设置。</w:t>
            </w:r>
          </w:p>
          <w:p>
            <w:pPr>
              <w:adjustRightInd w:val="0"/>
              <w:snapToGrid w:val="0"/>
              <w:jc w:val="left"/>
              <w:rPr>
                <w:szCs w:val="21"/>
              </w:rPr>
            </w:pPr>
          </w:p>
        </w:tc>
      </w:tr>
    </w:tbl>
    <w:p>
      <w:pPr>
        <w:pStyle w:val="17"/>
        <w:jc w:val="center"/>
        <w:outlineLvl w:val="0"/>
        <w:rPr>
          <w:rFonts w:ascii="Times New Roman" w:hAnsi="Times New Roman" w:eastAsia="黑体"/>
          <w:snapToGrid w:val="0"/>
          <w:sz w:val="30"/>
          <w:szCs w:val="30"/>
        </w:rPr>
      </w:pPr>
      <w:r>
        <w:rPr>
          <w:rFonts w:ascii="Times New Roman" w:hAnsi="Times New Roman"/>
          <w:snapToGrid w:val="0"/>
          <w:highlight w:val="yellow"/>
        </w:rPr>
        <w:br w:type="page"/>
      </w:r>
      <w:bookmarkStart w:id="21" w:name="_Toc20798"/>
      <w:r>
        <w:rPr>
          <w:rFonts w:ascii="Times New Roman" w:hAnsi="Times New Roman" w:eastAsia="黑体"/>
          <w:snapToGrid w:val="0"/>
          <w:sz w:val="30"/>
          <w:szCs w:val="30"/>
        </w:rPr>
        <w:t>六、结论</w:t>
      </w:r>
      <w:bookmarkEnd w:id="21"/>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91" w:hRule="atLeast"/>
          <w:jc w:val="center"/>
        </w:trPr>
        <w:tc>
          <w:tcPr>
            <w:tcW w:w="8865" w:type="dxa"/>
          </w:tcPr>
          <w:p>
            <w:pPr>
              <w:spacing w:line="360" w:lineRule="auto"/>
              <w:ind w:firstLine="480" w:firstLineChars="200"/>
              <w:jc w:val="left"/>
              <w:rPr>
                <w:sz w:val="24"/>
              </w:rPr>
            </w:pPr>
            <w:r>
              <w:rPr>
                <w:sz w:val="24"/>
              </w:rPr>
              <w:t>建设项目符合产业政策和当地规划要求。项目设计布局基本合理，采取的污染防治措施可行有效，项目实施后污染物可实现达标排放，项目环境风险可防控，项目所需的排污总量在区域内进行调剂解决，项目建设对环境的影响可以接受，不会改变项目周围大气环境、水环境和声环境质量等的现有功能要求。因此，从环境保护的角度来看，本项目的建设是可行的。</w:t>
            </w:r>
          </w:p>
          <w:p>
            <w:pPr>
              <w:spacing w:line="360" w:lineRule="auto"/>
              <w:ind w:firstLine="480" w:firstLineChars="200"/>
              <w:rPr>
                <w:sz w:val="24"/>
              </w:rPr>
            </w:pPr>
          </w:p>
        </w:tc>
      </w:tr>
    </w:tbl>
    <w:p>
      <w:pPr>
        <w:pStyle w:val="6"/>
        <w:sectPr>
          <w:pgSz w:w="11906" w:h="16838"/>
          <w:pgMar w:top="1701" w:right="1531" w:bottom="1701" w:left="1531" w:header="851" w:footer="851" w:gutter="0"/>
          <w:cols w:space="720" w:num="1"/>
          <w:docGrid w:linePitch="312" w:charSpace="0"/>
        </w:sectPr>
      </w:pPr>
    </w:p>
    <w:p>
      <w:pPr>
        <w:pStyle w:val="4"/>
        <w:spacing w:before="0" w:after="0" w:line="240" w:lineRule="auto"/>
        <w:rPr>
          <w:sz w:val="36"/>
          <w:szCs w:val="36"/>
        </w:rPr>
      </w:pPr>
      <w:r>
        <w:rPr>
          <w:sz w:val="36"/>
          <w:szCs w:val="36"/>
        </w:rPr>
        <w:t>附表</w:t>
      </w:r>
    </w:p>
    <w:p>
      <w:pPr>
        <w:spacing w:line="640" w:lineRule="exact"/>
        <w:ind w:left="4530"/>
        <w:jc w:val="left"/>
        <w:rPr>
          <w:rFonts w:hint="eastAsia"/>
          <w:sz w:val="4"/>
          <w:szCs w:val="4"/>
        </w:rPr>
      </w:pPr>
      <w:r>
        <w:rPr>
          <w:sz w:val="38"/>
          <w:szCs w:val="38"/>
        </w:rPr>
        <w:t>建设项目污染物排放量汇总表</w:t>
      </w:r>
      <w:r>
        <w:rPr>
          <w:rFonts w:hint="eastAsia"/>
          <w:sz w:val="38"/>
          <w:szCs w:val="38"/>
        </w:rPr>
        <w:t xml:space="preserve"> 单位：t/a</w:t>
      </w:r>
    </w:p>
    <w:tbl>
      <w:tblPr>
        <w:tblStyle w:val="20"/>
        <w:tblW w:w="13755" w:type="dxa"/>
        <w:tblInd w:w="11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287"/>
        <w:gridCol w:w="936"/>
        <w:gridCol w:w="1775"/>
        <w:gridCol w:w="1400"/>
        <w:gridCol w:w="1150"/>
        <w:gridCol w:w="1563"/>
        <w:gridCol w:w="1382"/>
        <w:gridCol w:w="1600"/>
        <w:gridCol w:w="1512"/>
        <w:gridCol w:w="11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noWrap w:val="0"/>
            <w:vAlign w:val="center"/>
          </w:tcPr>
          <w:p>
            <w:pPr>
              <w:pStyle w:val="6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mc:AlternateContent>
                <mc:Choice Requires="wpg">
                  <w:drawing>
                    <wp:anchor distT="0" distB="0" distL="114300" distR="114300" simplePos="0" relativeHeight="251666432" behindDoc="1" locked="0" layoutInCell="1" allowOverlap="1">
                      <wp:simplePos x="0" y="0"/>
                      <wp:positionH relativeFrom="page">
                        <wp:posOffset>8255</wp:posOffset>
                      </wp:positionH>
                      <wp:positionV relativeFrom="paragraph">
                        <wp:posOffset>9525</wp:posOffset>
                      </wp:positionV>
                      <wp:extent cx="801370" cy="569595"/>
                      <wp:effectExtent l="2540" t="3810" r="8890" b="10795"/>
                      <wp:wrapNone/>
                      <wp:docPr id="637" name="组合 637"/>
                      <wp:cNvGraphicFramePr/>
                      <a:graphic xmlns:a="http://schemas.openxmlformats.org/drawingml/2006/main">
                        <a:graphicData uri="http://schemas.microsoft.com/office/word/2010/wordprocessingGroup">
                          <wpg:wgp>
                            <wpg:cNvGrpSpPr/>
                            <wpg:grpSpPr>
                              <a:xfrm>
                                <a:off x="0" y="0"/>
                                <a:ext cx="801370" cy="569595"/>
                                <a:chOff x="1553" y="735"/>
                                <a:chExt cx="1273" cy="819"/>
                              </a:xfrm>
                              <a:effectLst/>
                            </wpg:grpSpPr>
                            <wps:wsp>
                              <wps:cNvPr id="636" name="任意多边形 637"/>
                              <wps:cNvSpPr/>
                              <wps:spPr>
                                <a:xfrm>
                                  <a:off x="1553" y="735"/>
                                  <a:ext cx="1273" cy="819"/>
                                </a:xfrm>
                                <a:custGeom>
                                  <a:avLst/>
                                  <a:gdLst/>
                                  <a:ahLst/>
                                  <a:cxnLst/>
                                  <a:pathLst>
                                    <a:path w="1273" h="819">
                                      <a:moveTo>
                                        <a:pt x="0" y="0"/>
                                      </a:moveTo>
                                      <a:lnTo>
                                        <a:pt x="1272" y="818"/>
                                      </a:lnTo>
                                    </a:path>
                                  </a:pathLst>
                                </a:custGeom>
                                <a:noFill/>
                                <a:ln w="6096" cap="flat" cmpd="sng">
                                  <a:solidFill>
                                    <a:srgbClr val="000000"/>
                                  </a:solidFill>
                                  <a:prstDash val="solid"/>
                                  <a:headEnd type="none" w="med" len="med"/>
                                  <a:tailEnd type="none" w="med" len="med"/>
                                </a:ln>
                                <a:effectLst/>
                              </wps:spPr>
                              <wps:bodyPr upright="1"/>
                            </wps:wsp>
                          </wpg:wgp>
                        </a:graphicData>
                      </a:graphic>
                    </wp:anchor>
                  </w:drawing>
                </mc:Choice>
                <mc:Fallback>
                  <w:pict>
                    <v:group id="_x0000_s1026" o:spid="_x0000_s1026" o:spt="203" style="position:absolute;left:0pt;margin-left:0.65pt;margin-top:0.75pt;height:44.85pt;width:63.1pt;mso-position-horizontal-relative:page;z-index:-251650048;mso-width-relative:page;mso-height-relative:page;" coordorigin="1553,735" coordsize="1273,819" o:gfxdata="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CTxvVk1QAAAAYBAAAPAAAAAAAAAAEAIAAAACIAAABkcnMvZG93bnJldi54bWxQSwECFAAU&#10;AAAACACHTuJAsaMVR58CAADhBQAADgAAAAAAAAABACAAAAAkAQAAZHJzL2Uyb0RvYy54bWxQSwUG&#10;AAAAAAYABgBZAQAANQYAAAAA&#10;">
                      <o:lock v:ext="edit" aspectratio="f"/>
                      <v:shape id="任意多边形 637" o:spid="_x0000_s1026" o:spt="100" style="position:absolute;left:1553;top:735;height:819;width:1273;" filled="f" stroked="t" coordsize="1273,819" o:gfxdata="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Z9oSW/&#10;AAAA3AAAAA8AAAAAAAAAAQAgAAAAIgAAAGRycy9kb3ducmV2LnhtbFBLAQIUABQAAAAIAIdO4kAz&#10;LwWeOwAAADkAAAAQAAAAAAAAAAEAIAAAAA4BAABkcnMvc2hhcGV4bWwueG1sUEsFBgAAAAAGAAYA&#10;WwEAALgDAAAAAA==&#10;" path="m0,0l1272,818e">
                        <v:fill on="f" focussize="0,0"/>
                        <v:stroke weight="0.48pt" color="#000000" joinstyle="round"/>
                        <v:imagedata o:title=""/>
                        <o:lock v:ext="edit" aspectratio="f"/>
                      </v:shape>
                    </v:group>
                  </w:pict>
                </mc:Fallback>
              </mc:AlternateContent>
            </w:r>
            <w:r>
              <w:rPr>
                <w:rFonts w:hint="default" w:ascii="Times New Roman" w:hAnsi="Times New Roman" w:eastAsia="宋体" w:cs="Times New Roman"/>
                <w:sz w:val="21"/>
                <w:szCs w:val="21"/>
              </w:rPr>
              <w:t xml:space="preserve">     </w:t>
            </w:r>
          </w:p>
          <w:p>
            <w:pPr>
              <w:pStyle w:val="6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       项目</w:t>
            </w:r>
          </w:p>
          <w:p>
            <w:pPr>
              <w:pStyle w:val="62"/>
              <w:jc w:val="center"/>
              <w:rPr>
                <w:rFonts w:hint="default" w:ascii="Times New Roman" w:hAnsi="Times New Roman" w:eastAsia="宋体" w:cs="Times New Roman"/>
                <w:sz w:val="21"/>
                <w:szCs w:val="21"/>
              </w:rPr>
            </w:pPr>
          </w:p>
          <w:p>
            <w:pPr>
              <w:pStyle w:val="62"/>
              <w:ind w:firstLine="198" w:firstLineChars="1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分类</w:t>
            </w:r>
          </w:p>
        </w:tc>
        <w:tc>
          <w:tcPr>
            <w:tcW w:w="2711" w:type="dxa"/>
            <w:gridSpan w:val="2"/>
            <w:noWrap w:val="0"/>
            <w:vAlign w:val="center"/>
          </w:tcPr>
          <w:p>
            <w:pPr>
              <w:pStyle w:val="6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污染物名称</w:t>
            </w:r>
          </w:p>
        </w:tc>
        <w:tc>
          <w:tcPr>
            <w:tcW w:w="14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现有工程</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排放量（固体废物 产生量）①</w:t>
            </w:r>
          </w:p>
        </w:tc>
        <w:tc>
          <w:tcPr>
            <w:tcW w:w="115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现有工程</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许可排放量</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②</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在建工程</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排放量（固体废物产生量）③</w:t>
            </w:r>
          </w:p>
        </w:tc>
        <w:tc>
          <w:tcPr>
            <w:tcW w:w="1382"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本项目</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排放量（固体废物产生量）④</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以新带老削减量</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（新建项目不填）⑤</w:t>
            </w:r>
          </w:p>
        </w:tc>
        <w:tc>
          <w:tcPr>
            <w:tcW w:w="1512"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本项目建成后全厂排放量（固体废物产生量）⑥</w:t>
            </w:r>
          </w:p>
        </w:tc>
        <w:tc>
          <w:tcPr>
            <w:tcW w:w="115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变化量</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287" w:type="dxa"/>
            <w:vMerge w:val="restart"/>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废气</w:t>
            </w:r>
          </w:p>
        </w:tc>
        <w:tc>
          <w:tcPr>
            <w:tcW w:w="936"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有组织</w:t>
            </w:r>
          </w:p>
        </w:tc>
        <w:tc>
          <w:tcPr>
            <w:tcW w:w="1775"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非甲烷总烃</w:t>
            </w:r>
          </w:p>
        </w:tc>
        <w:tc>
          <w:tcPr>
            <w:tcW w:w="1400" w:type="dxa"/>
            <w:noWrap w:val="0"/>
            <w:vAlign w:val="center"/>
          </w:tcPr>
          <w:p>
            <w:pPr>
              <w:widowControl/>
              <w:jc w:val="center"/>
              <w:textAlignment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150" w:type="dxa"/>
            <w:noWrap w:val="0"/>
            <w:vAlign w:val="center"/>
          </w:tcPr>
          <w:p>
            <w:pPr>
              <w:widowControl/>
              <w:jc w:val="center"/>
              <w:textAlignment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63" w:type="dxa"/>
            <w:noWrap w:val="0"/>
            <w:vAlign w:val="center"/>
          </w:tcPr>
          <w:p>
            <w:pPr>
              <w:widowControl/>
              <w:jc w:val="center"/>
              <w:textAlignment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eastAsia"/>
                <w:color w:val="000000"/>
                <w:szCs w:val="21"/>
                <w:lang w:val="en-US" w:eastAsia="zh-CN"/>
              </w:rPr>
              <w:t>0.1177</w:t>
            </w:r>
          </w:p>
        </w:tc>
        <w:tc>
          <w:tcPr>
            <w:tcW w:w="160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sz w:val="21"/>
                <w:szCs w:val="21"/>
              </w:rPr>
              <w:t>0</w:t>
            </w:r>
          </w:p>
        </w:tc>
        <w:tc>
          <w:tcPr>
            <w:tcW w:w="1512"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eastAsia"/>
                <w:color w:val="000000"/>
                <w:szCs w:val="21"/>
                <w:lang w:val="en-US" w:eastAsia="zh-CN"/>
              </w:rPr>
              <w:t>0.1177</w:t>
            </w:r>
          </w:p>
        </w:tc>
        <w:tc>
          <w:tcPr>
            <w:tcW w:w="1150"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r>
              <w:rPr>
                <w:rFonts w:hint="eastAsia"/>
                <w:color w:val="000000"/>
                <w:szCs w:val="21"/>
                <w:lang w:val="en-US" w:eastAsia="zh-CN"/>
              </w:rPr>
              <w:t>0.1177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jc w:val="center"/>
              <w:rPr>
                <w:rFonts w:hint="default" w:ascii="Times New Roman" w:hAnsi="Times New Roman" w:eastAsia="宋体" w:cs="Times New Roman"/>
                <w:bCs/>
                <w:sz w:val="21"/>
                <w:szCs w:val="21"/>
              </w:rPr>
            </w:pPr>
          </w:p>
        </w:tc>
        <w:tc>
          <w:tcPr>
            <w:tcW w:w="936"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无组织</w:t>
            </w:r>
          </w:p>
        </w:tc>
        <w:tc>
          <w:tcPr>
            <w:tcW w:w="1775"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非甲烷总烃</w:t>
            </w:r>
          </w:p>
        </w:tc>
        <w:tc>
          <w:tcPr>
            <w:tcW w:w="1400" w:type="dxa"/>
            <w:noWrap w:val="0"/>
            <w:vAlign w:val="center"/>
          </w:tcPr>
          <w:p>
            <w:pPr>
              <w:widowControl/>
              <w:jc w:val="center"/>
              <w:textAlignment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150" w:type="dxa"/>
            <w:noWrap w:val="0"/>
            <w:vAlign w:val="center"/>
          </w:tcPr>
          <w:p>
            <w:pPr>
              <w:widowControl/>
              <w:jc w:val="center"/>
              <w:textAlignment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63" w:type="dxa"/>
            <w:noWrap w:val="0"/>
            <w:vAlign w:val="center"/>
          </w:tcPr>
          <w:p>
            <w:pPr>
              <w:widowControl/>
              <w:jc w:val="center"/>
              <w:textAlignment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eastAsia"/>
                <w:color w:val="000000"/>
                <w:szCs w:val="21"/>
                <w:lang w:val="en-US" w:eastAsia="zh-CN"/>
              </w:rPr>
              <w:t>0.13021</w:t>
            </w:r>
          </w:p>
        </w:tc>
        <w:tc>
          <w:tcPr>
            <w:tcW w:w="160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sz w:val="21"/>
                <w:szCs w:val="21"/>
              </w:rPr>
              <w:t>0</w:t>
            </w:r>
          </w:p>
        </w:tc>
        <w:tc>
          <w:tcPr>
            <w:tcW w:w="1512"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eastAsia"/>
                <w:color w:val="000000"/>
                <w:szCs w:val="21"/>
                <w:lang w:val="en-US" w:eastAsia="zh-CN"/>
              </w:rPr>
              <w:t>0.13021</w:t>
            </w:r>
          </w:p>
        </w:tc>
        <w:tc>
          <w:tcPr>
            <w:tcW w:w="1150"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r>
              <w:rPr>
                <w:rFonts w:hint="eastAsia"/>
                <w:color w:val="000000"/>
                <w:szCs w:val="21"/>
                <w:lang w:val="en-US" w:eastAsia="zh-CN"/>
              </w:rPr>
              <w:t>0.13021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0" w:hRule="atLeast"/>
        </w:trPr>
        <w:tc>
          <w:tcPr>
            <w:tcW w:w="1287" w:type="dxa"/>
            <w:vMerge w:val="restart"/>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废水</w:t>
            </w:r>
          </w:p>
        </w:tc>
        <w:tc>
          <w:tcPr>
            <w:tcW w:w="936" w:type="dxa"/>
            <w:vMerge w:val="restart"/>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生活污水</w:t>
            </w:r>
          </w:p>
        </w:tc>
        <w:tc>
          <w:tcPr>
            <w:tcW w:w="1775" w:type="dxa"/>
            <w:noWrap w:val="0"/>
            <w:vAlign w:val="center"/>
          </w:tcPr>
          <w:p>
            <w:pPr>
              <w:adjustRightInd w:val="0"/>
              <w:snapToGrid w:val="0"/>
              <w:jc w:val="center"/>
              <w:rPr>
                <w:rFonts w:hint="eastAsia" w:ascii="Times New Roman" w:hAnsi="Times New Roman" w:eastAsia="宋体" w:cs="Times New Roman"/>
                <w:bCs/>
                <w:sz w:val="21"/>
                <w:szCs w:val="21"/>
                <w:lang w:val="en-US" w:eastAsia="zh-CN"/>
              </w:rPr>
            </w:pPr>
            <w:r>
              <w:rPr>
                <w:color w:val="000000" w:themeColor="text1"/>
                <w:szCs w:val="21"/>
                <w14:textFill>
                  <w14:solidFill>
                    <w14:schemeClr w14:val="tx1"/>
                  </w14:solidFill>
                </w14:textFill>
              </w:rPr>
              <w:t>废水量</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t/a</w:t>
            </w:r>
            <w:r>
              <w:rPr>
                <w:rFonts w:hint="eastAsia"/>
                <w:color w:val="000000" w:themeColor="text1"/>
                <w:szCs w:val="21"/>
                <w:lang w:eastAsia="zh-CN"/>
                <w14:textFill>
                  <w14:solidFill>
                    <w14:schemeClr w14:val="tx1"/>
                  </w14:solidFill>
                </w14:textFill>
              </w:rPr>
              <w:t>）</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eastAsia"/>
                <w:color w:val="000000"/>
                <w:spacing w:val="4"/>
              </w:rPr>
              <w:t>5100</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adjustRightInd w:val="0"/>
              <w:snapToGrid w:val="0"/>
              <w:jc w:val="center"/>
              <w:rPr>
                <w:rFonts w:hint="default" w:ascii="Times New Roman" w:hAnsi="Times New Roman" w:eastAsia="宋体" w:cs="Times New Roman"/>
                <w:sz w:val="21"/>
                <w:szCs w:val="21"/>
              </w:rPr>
            </w:pPr>
            <w:r>
              <w:rPr>
                <w:rFonts w:hint="eastAsia"/>
                <w:color w:val="000000"/>
                <w:spacing w:val="4"/>
              </w:rPr>
              <w:t>5100</w:t>
            </w:r>
          </w:p>
        </w:tc>
        <w:tc>
          <w:tcPr>
            <w:tcW w:w="1150" w:type="dxa"/>
            <w:noWrap w:val="0"/>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rFonts w:hint="eastAsia"/>
                <w:color w:val="000000"/>
                <w:spacing w:val="4"/>
              </w:rPr>
              <w:t>5100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6"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936" w:type="dxa"/>
            <w:vMerge w:val="continue"/>
            <w:noWrap w:val="0"/>
            <w:vAlign w:val="center"/>
          </w:tcPr>
          <w:p>
            <w:pPr>
              <w:widowControl/>
              <w:jc w:val="center"/>
              <w:rPr>
                <w:rFonts w:hint="default" w:ascii="Times New Roman" w:hAnsi="Times New Roman" w:eastAsia="宋体" w:cs="Times New Roman"/>
                <w:sz w:val="21"/>
                <w:szCs w:val="21"/>
              </w:rPr>
            </w:pPr>
          </w:p>
        </w:tc>
        <w:tc>
          <w:tcPr>
            <w:tcW w:w="1775" w:type="dxa"/>
            <w:noWrap w:val="0"/>
            <w:vAlign w:val="center"/>
          </w:tcPr>
          <w:p>
            <w:pPr>
              <w:widowControl/>
              <w:jc w:val="center"/>
              <w:rPr>
                <w:rFonts w:hint="default" w:ascii="Times New Roman" w:hAnsi="Times New Roman" w:eastAsia="宋体" w:cs="Times New Roman"/>
                <w:bCs/>
                <w:sz w:val="21"/>
                <w:szCs w:val="21"/>
              </w:rPr>
            </w:pPr>
            <w:r>
              <w:rPr>
                <w:color w:val="000000"/>
                <w:kern w:val="0"/>
                <w:szCs w:val="21"/>
              </w:rPr>
              <w:t>COD</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widowControl/>
              <w:jc w:val="center"/>
              <w:textAlignment w:val="center"/>
              <w:rPr>
                <w:rFonts w:hint="default" w:ascii="Times New Roman" w:hAnsi="Times New Roman" w:eastAsia="宋体" w:cs="Times New Roman"/>
                <w:color w:val="000000"/>
                <w:sz w:val="21"/>
                <w:szCs w:val="21"/>
              </w:rPr>
            </w:pPr>
            <w:r>
              <w:rPr>
                <w:rFonts w:hint="eastAsia"/>
                <w:color w:val="000000"/>
                <w:spacing w:val="4"/>
              </w:rPr>
              <w:t>2.55</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widowControl/>
              <w:jc w:val="center"/>
              <w:textAlignment w:val="center"/>
              <w:rPr>
                <w:rFonts w:hint="default" w:ascii="Times New Roman" w:hAnsi="Times New Roman" w:eastAsia="宋体" w:cs="Times New Roman"/>
                <w:sz w:val="21"/>
                <w:szCs w:val="21"/>
              </w:rPr>
            </w:pPr>
            <w:r>
              <w:rPr>
                <w:rFonts w:hint="eastAsia"/>
                <w:color w:val="000000"/>
                <w:spacing w:val="4"/>
              </w:rPr>
              <w:t>2.55</w:t>
            </w:r>
          </w:p>
        </w:tc>
        <w:tc>
          <w:tcPr>
            <w:tcW w:w="1150" w:type="dxa"/>
            <w:noWrap w:val="0"/>
            <w:vAlign w:val="center"/>
          </w:tcPr>
          <w:p>
            <w:pPr>
              <w:widowControl/>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rFonts w:hint="eastAsia"/>
                <w:color w:val="000000"/>
                <w:spacing w:val="4"/>
              </w:rPr>
              <w:t>2.55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936" w:type="dxa"/>
            <w:vMerge w:val="continue"/>
            <w:noWrap w:val="0"/>
            <w:vAlign w:val="center"/>
          </w:tcPr>
          <w:p>
            <w:pPr>
              <w:widowControl/>
              <w:jc w:val="center"/>
              <w:rPr>
                <w:rFonts w:hint="default" w:ascii="Times New Roman" w:hAnsi="Times New Roman" w:eastAsia="宋体" w:cs="Times New Roman"/>
                <w:sz w:val="21"/>
                <w:szCs w:val="21"/>
              </w:rPr>
            </w:pPr>
          </w:p>
        </w:tc>
        <w:tc>
          <w:tcPr>
            <w:tcW w:w="1775" w:type="dxa"/>
            <w:noWrap w:val="0"/>
            <w:vAlign w:val="center"/>
          </w:tcPr>
          <w:p>
            <w:pPr>
              <w:widowControl/>
              <w:jc w:val="center"/>
              <w:rPr>
                <w:rFonts w:hint="default" w:ascii="Times New Roman" w:hAnsi="Times New Roman" w:eastAsia="宋体" w:cs="Times New Roman"/>
                <w:bCs/>
                <w:sz w:val="21"/>
                <w:szCs w:val="21"/>
              </w:rPr>
            </w:pPr>
            <w:r>
              <w:rPr>
                <w:color w:val="000000"/>
                <w:kern w:val="0"/>
                <w:szCs w:val="21"/>
              </w:rPr>
              <w:t>SS</w:t>
            </w:r>
          </w:p>
        </w:tc>
        <w:tc>
          <w:tcPr>
            <w:tcW w:w="1400" w:type="dxa"/>
            <w:noWrap w:val="0"/>
            <w:vAlign w:val="center"/>
          </w:tcPr>
          <w:p>
            <w:pPr>
              <w:jc w:val="center"/>
              <w:rPr>
                <w:rFonts w:hint="default" w:ascii="Times New Roman" w:hAnsi="Times New Roman" w:eastAsia="宋体" w:cs="Times New Roman"/>
                <w:bCs/>
                <w:sz w:val="21"/>
                <w:szCs w:val="21"/>
              </w:rPr>
            </w:pPr>
          </w:p>
        </w:tc>
        <w:tc>
          <w:tcPr>
            <w:tcW w:w="1150" w:type="dxa"/>
            <w:noWrap w:val="0"/>
            <w:vAlign w:val="center"/>
          </w:tcPr>
          <w:p>
            <w:pPr>
              <w:jc w:val="center"/>
              <w:rPr>
                <w:rFonts w:hint="default" w:ascii="Times New Roman" w:hAnsi="Times New Roman" w:eastAsia="宋体" w:cs="Times New Roman"/>
                <w:bCs/>
                <w:sz w:val="21"/>
                <w:szCs w:val="21"/>
              </w:rPr>
            </w:pPr>
          </w:p>
        </w:tc>
        <w:tc>
          <w:tcPr>
            <w:tcW w:w="1563" w:type="dxa"/>
            <w:noWrap w:val="0"/>
            <w:vAlign w:val="center"/>
          </w:tcPr>
          <w:p>
            <w:pPr>
              <w:jc w:val="center"/>
              <w:rPr>
                <w:rFonts w:hint="default" w:ascii="Times New Roman" w:hAnsi="Times New Roman" w:eastAsia="宋体" w:cs="Times New Roman"/>
                <w:bCs/>
                <w:sz w:val="21"/>
                <w:szCs w:val="21"/>
              </w:rPr>
            </w:pPr>
          </w:p>
        </w:tc>
        <w:tc>
          <w:tcPr>
            <w:tcW w:w="1382" w:type="dxa"/>
            <w:noWrap w:val="0"/>
            <w:vAlign w:val="center"/>
          </w:tcPr>
          <w:p>
            <w:pPr>
              <w:widowControl/>
              <w:jc w:val="center"/>
              <w:textAlignment w:val="center"/>
              <w:rPr>
                <w:rFonts w:hint="default" w:ascii="Times New Roman" w:hAnsi="Times New Roman" w:eastAsia="宋体" w:cs="Times New Roman"/>
                <w:color w:val="000000"/>
                <w:sz w:val="21"/>
                <w:szCs w:val="21"/>
              </w:rPr>
            </w:pPr>
            <w:r>
              <w:rPr>
                <w:rFonts w:hint="eastAsia"/>
                <w:color w:val="000000"/>
                <w:spacing w:val="4"/>
              </w:rPr>
              <w:t>2.04</w:t>
            </w:r>
          </w:p>
        </w:tc>
        <w:tc>
          <w:tcPr>
            <w:tcW w:w="1600" w:type="dxa"/>
            <w:noWrap w:val="0"/>
            <w:vAlign w:val="center"/>
          </w:tcPr>
          <w:p>
            <w:pPr>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0</w:t>
            </w:r>
          </w:p>
        </w:tc>
        <w:tc>
          <w:tcPr>
            <w:tcW w:w="1512" w:type="dxa"/>
            <w:noWrap w:val="0"/>
            <w:vAlign w:val="center"/>
          </w:tcPr>
          <w:p>
            <w:pPr>
              <w:widowControl/>
              <w:jc w:val="center"/>
              <w:textAlignment w:val="center"/>
              <w:rPr>
                <w:rFonts w:hint="default" w:ascii="Times New Roman" w:hAnsi="Times New Roman" w:eastAsia="宋体" w:cs="Times New Roman"/>
                <w:sz w:val="21"/>
                <w:szCs w:val="21"/>
              </w:rPr>
            </w:pPr>
            <w:r>
              <w:rPr>
                <w:rFonts w:hint="eastAsia"/>
                <w:color w:val="000000"/>
                <w:spacing w:val="4"/>
              </w:rPr>
              <w:t>2.04</w:t>
            </w:r>
          </w:p>
        </w:tc>
        <w:tc>
          <w:tcPr>
            <w:tcW w:w="1150" w:type="dxa"/>
            <w:noWrap w:val="0"/>
            <w:vAlign w:val="center"/>
          </w:tcPr>
          <w:p>
            <w:pPr>
              <w:widowControl/>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rFonts w:hint="eastAsia"/>
                <w:color w:val="000000"/>
                <w:spacing w:val="4"/>
              </w:rPr>
              <w:t>2.04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936" w:type="dxa"/>
            <w:vMerge w:val="continue"/>
            <w:noWrap w:val="0"/>
            <w:vAlign w:val="center"/>
          </w:tcPr>
          <w:p>
            <w:pPr>
              <w:widowControl/>
              <w:jc w:val="center"/>
              <w:rPr>
                <w:rFonts w:hint="default" w:ascii="Times New Roman" w:hAnsi="Times New Roman" w:eastAsia="宋体" w:cs="Times New Roman"/>
                <w:sz w:val="21"/>
                <w:szCs w:val="21"/>
              </w:rPr>
            </w:pPr>
          </w:p>
        </w:tc>
        <w:tc>
          <w:tcPr>
            <w:tcW w:w="1775" w:type="dxa"/>
            <w:noWrap w:val="0"/>
            <w:vAlign w:val="center"/>
          </w:tcPr>
          <w:p>
            <w:pPr>
              <w:widowControl/>
              <w:jc w:val="center"/>
              <w:rPr>
                <w:rFonts w:hint="default" w:ascii="Times New Roman" w:hAnsi="Times New Roman" w:eastAsia="宋体" w:cs="Times New Roman"/>
                <w:bCs/>
                <w:sz w:val="21"/>
                <w:szCs w:val="21"/>
              </w:rPr>
            </w:pPr>
            <w:r>
              <w:rPr>
                <w:rFonts w:hint="eastAsia" w:ascii="宋体" w:hAnsi="宋体" w:cs="宋体"/>
                <w:color w:val="000000"/>
                <w:kern w:val="0"/>
                <w:szCs w:val="21"/>
              </w:rPr>
              <w:t>氨氮</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widowControl/>
              <w:jc w:val="center"/>
              <w:textAlignment w:val="center"/>
              <w:rPr>
                <w:rFonts w:hint="default" w:ascii="Times New Roman" w:hAnsi="Times New Roman" w:eastAsia="宋体" w:cs="Times New Roman"/>
                <w:color w:val="000000"/>
                <w:sz w:val="21"/>
                <w:szCs w:val="21"/>
              </w:rPr>
            </w:pPr>
            <w:r>
              <w:rPr>
                <w:color w:val="000000"/>
                <w:spacing w:val="4"/>
              </w:rPr>
              <w:t>0.</w:t>
            </w:r>
            <w:r>
              <w:rPr>
                <w:rFonts w:hint="eastAsia"/>
                <w:color w:val="000000"/>
                <w:spacing w:val="4"/>
              </w:rPr>
              <w:t>23</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widowControl/>
              <w:jc w:val="center"/>
              <w:textAlignment w:val="center"/>
              <w:rPr>
                <w:rFonts w:hint="default" w:ascii="Times New Roman" w:hAnsi="Times New Roman" w:eastAsia="宋体" w:cs="Times New Roman"/>
                <w:sz w:val="21"/>
                <w:szCs w:val="21"/>
              </w:rPr>
            </w:pPr>
            <w:r>
              <w:rPr>
                <w:color w:val="000000"/>
                <w:spacing w:val="4"/>
              </w:rPr>
              <w:t>0.</w:t>
            </w:r>
            <w:r>
              <w:rPr>
                <w:rFonts w:hint="eastAsia"/>
                <w:color w:val="000000"/>
                <w:spacing w:val="4"/>
              </w:rPr>
              <w:t>23</w:t>
            </w:r>
          </w:p>
        </w:tc>
        <w:tc>
          <w:tcPr>
            <w:tcW w:w="1150" w:type="dxa"/>
            <w:noWrap w:val="0"/>
            <w:vAlign w:val="center"/>
          </w:tcPr>
          <w:p>
            <w:pPr>
              <w:widowControl/>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color w:val="000000"/>
                <w:spacing w:val="4"/>
              </w:rPr>
              <w:t>0.</w:t>
            </w:r>
            <w:r>
              <w:rPr>
                <w:rFonts w:hint="eastAsia"/>
                <w:color w:val="000000"/>
                <w:spacing w:val="4"/>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936" w:type="dxa"/>
            <w:vMerge w:val="continue"/>
            <w:noWrap w:val="0"/>
            <w:vAlign w:val="center"/>
          </w:tcPr>
          <w:p>
            <w:pPr>
              <w:widowControl/>
              <w:jc w:val="center"/>
              <w:rPr>
                <w:rFonts w:hint="default" w:ascii="Times New Roman" w:hAnsi="Times New Roman" w:eastAsia="宋体" w:cs="Times New Roman"/>
                <w:sz w:val="21"/>
                <w:szCs w:val="21"/>
              </w:rPr>
            </w:pPr>
          </w:p>
        </w:tc>
        <w:tc>
          <w:tcPr>
            <w:tcW w:w="1775" w:type="dxa"/>
            <w:noWrap w:val="0"/>
            <w:vAlign w:val="center"/>
          </w:tcPr>
          <w:p>
            <w:pPr>
              <w:widowControl/>
              <w:jc w:val="center"/>
              <w:rPr>
                <w:rFonts w:hint="default" w:ascii="Times New Roman" w:hAnsi="Times New Roman" w:eastAsia="宋体" w:cs="Times New Roman"/>
                <w:bCs/>
                <w:sz w:val="21"/>
                <w:szCs w:val="21"/>
              </w:rPr>
            </w:pPr>
            <w:r>
              <w:rPr>
                <w:rFonts w:hint="eastAsia" w:ascii="宋体" w:hAnsi="宋体" w:cs="宋体"/>
                <w:color w:val="000000"/>
                <w:kern w:val="0"/>
                <w:szCs w:val="21"/>
              </w:rPr>
              <w:t>总磷</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widowControl/>
              <w:jc w:val="center"/>
              <w:textAlignment w:val="center"/>
              <w:rPr>
                <w:rFonts w:hint="default" w:ascii="Times New Roman" w:hAnsi="Times New Roman" w:eastAsia="宋体" w:cs="Times New Roman"/>
                <w:color w:val="000000"/>
                <w:sz w:val="21"/>
                <w:szCs w:val="21"/>
              </w:rPr>
            </w:pPr>
            <w:r>
              <w:rPr>
                <w:color w:val="000000"/>
                <w:spacing w:val="4"/>
              </w:rPr>
              <w:t>0.0</w:t>
            </w:r>
            <w:r>
              <w:rPr>
                <w:rFonts w:hint="eastAsia"/>
                <w:color w:val="000000"/>
                <w:spacing w:val="4"/>
              </w:rPr>
              <w:t>41</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widowControl/>
              <w:jc w:val="center"/>
              <w:textAlignment w:val="center"/>
              <w:rPr>
                <w:rFonts w:hint="default" w:ascii="Times New Roman" w:hAnsi="Times New Roman" w:eastAsia="宋体" w:cs="Times New Roman"/>
                <w:sz w:val="21"/>
                <w:szCs w:val="21"/>
              </w:rPr>
            </w:pPr>
            <w:r>
              <w:rPr>
                <w:color w:val="000000"/>
                <w:spacing w:val="4"/>
              </w:rPr>
              <w:t>0.0</w:t>
            </w:r>
            <w:r>
              <w:rPr>
                <w:rFonts w:hint="eastAsia"/>
                <w:color w:val="000000"/>
                <w:spacing w:val="4"/>
              </w:rPr>
              <w:t>41</w:t>
            </w:r>
          </w:p>
        </w:tc>
        <w:tc>
          <w:tcPr>
            <w:tcW w:w="1150" w:type="dxa"/>
            <w:noWrap w:val="0"/>
            <w:vAlign w:val="center"/>
          </w:tcPr>
          <w:p>
            <w:pPr>
              <w:widowControl/>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color w:val="000000"/>
                <w:spacing w:val="4"/>
              </w:rPr>
              <w:t>0.0</w:t>
            </w:r>
            <w:r>
              <w:rPr>
                <w:rFonts w:hint="eastAsia"/>
                <w:color w:val="000000"/>
                <w:spacing w:val="4"/>
              </w:rPr>
              <w:t>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936" w:type="dxa"/>
            <w:vMerge w:val="continue"/>
            <w:noWrap w:val="0"/>
            <w:vAlign w:val="center"/>
          </w:tcPr>
          <w:p>
            <w:pPr>
              <w:widowControl/>
              <w:jc w:val="center"/>
              <w:rPr>
                <w:rFonts w:hint="default" w:ascii="Times New Roman" w:hAnsi="Times New Roman" w:eastAsia="宋体" w:cs="Times New Roman"/>
                <w:sz w:val="21"/>
                <w:szCs w:val="21"/>
              </w:rPr>
            </w:pPr>
          </w:p>
        </w:tc>
        <w:tc>
          <w:tcPr>
            <w:tcW w:w="1775" w:type="dxa"/>
            <w:noWrap w:val="0"/>
            <w:vAlign w:val="center"/>
          </w:tcPr>
          <w:p>
            <w:pPr>
              <w:widowControl/>
              <w:jc w:val="center"/>
              <w:rPr>
                <w:rFonts w:hint="default" w:ascii="Times New Roman" w:hAnsi="Times New Roman" w:eastAsia="宋体" w:cs="Times New Roman"/>
                <w:bCs/>
                <w:sz w:val="21"/>
                <w:szCs w:val="21"/>
              </w:rPr>
            </w:pPr>
            <w:r>
              <w:rPr>
                <w:rFonts w:hint="eastAsia" w:ascii="宋体" w:hAnsi="宋体" w:cs="宋体"/>
                <w:color w:val="000000"/>
                <w:kern w:val="0"/>
                <w:szCs w:val="21"/>
              </w:rPr>
              <w:t>总氮</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widowControl/>
              <w:jc w:val="center"/>
              <w:textAlignment w:val="center"/>
              <w:rPr>
                <w:rFonts w:hint="default" w:ascii="Times New Roman" w:hAnsi="Times New Roman" w:eastAsia="宋体" w:cs="Times New Roman"/>
                <w:color w:val="000000"/>
                <w:sz w:val="21"/>
                <w:szCs w:val="21"/>
              </w:rPr>
            </w:pPr>
            <w:r>
              <w:rPr>
                <w:color w:val="000000"/>
                <w:spacing w:val="4"/>
              </w:rPr>
              <w:t>0.</w:t>
            </w:r>
            <w:r>
              <w:rPr>
                <w:rFonts w:hint="eastAsia"/>
                <w:color w:val="000000"/>
                <w:spacing w:val="4"/>
              </w:rPr>
              <w:t>357</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widowControl/>
              <w:jc w:val="center"/>
              <w:textAlignment w:val="center"/>
              <w:rPr>
                <w:rFonts w:hint="default" w:ascii="Times New Roman" w:hAnsi="Times New Roman" w:eastAsia="宋体" w:cs="Times New Roman"/>
                <w:sz w:val="21"/>
                <w:szCs w:val="21"/>
              </w:rPr>
            </w:pPr>
            <w:r>
              <w:rPr>
                <w:color w:val="000000"/>
                <w:spacing w:val="4"/>
              </w:rPr>
              <w:t>0.</w:t>
            </w:r>
            <w:r>
              <w:rPr>
                <w:rFonts w:hint="eastAsia"/>
                <w:color w:val="000000"/>
                <w:spacing w:val="4"/>
              </w:rPr>
              <w:t>357</w:t>
            </w:r>
          </w:p>
        </w:tc>
        <w:tc>
          <w:tcPr>
            <w:tcW w:w="1150" w:type="dxa"/>
            <w:noWrap w:val="0"/>
            <w:vAlign w:val="center"/>
          </w:tcPr>
          <w:p>
            <w:pPr>
              <w:widowControl/>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color w:val="000000"/>
                <w:spacing w:val="4"/>
              </w:rPr>
              <w:t>0.</w:t>
            </w:r>
            <w:r>
              <w:rPr>
                <w:rFonts w:hint="eastAsia"/>
                <w:color w:val="000000"/>
                <w:spacing w:val="4"/>
              </w:rPr>
              <w:t>357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restart"/>
            <w:noWrap w:val="0"/>
            <w:vAlign w:val="center"/>
          </w:tcPr>
          <w:p>
            <w:pPr>
              <w:pStyle w:val="6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一般工业固体废物</w:t>
            </w:r>
          </w:p>
        </w:tc>
        <w:tc>
          <w:tcPr>
            <w:tcW w:w="2711" w:type="dxa"/>
            <w:gridSpan w:val="2"/>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color w:val="000000"/>
                <w:spacing w:val="4"/>
              </w:rPr>
              <w:t>一般废包装</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0</w:t>
            </w:r>
          </w:p>
        </w:tc>
        <w:tc>
          <w:tcPr>
            <w:tcW w:w="115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0</w:t>
            </w:r>
          </w:p>
        </w:tc>
        <w:tc>
          <w:tcPr>
            <w:tcW w:w="1563"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38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color w:val="000000"/>
                <w:spacing w:val="4"/>
              </w:rPr>
              <w:t>1.5</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color w:val="000000"/>
                <w:spacing w:val="4"/>
              </w:rPr>
              <w:t>1.5</w:t>
            </w:r>
          </w:p>
        </w:tc>
        <w:tc>
          <w:tcPr>
            <w:tcW w:w="1150"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color w:val="000000"/>
                <w:spacing w:val="4"/>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2711" w:type="dxa"/>
            <w:gridSpan w:val="2"/>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color w:val="000000"/>
                <w:szCs w:val="21"/>
              </w:rPr>
              <w:t>废锡膏</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eastAsia"/>
                <w:color w:val="000000"/>
                <w:spacing w:val="4"/>
              </w:rPr>
              <w:t>0.05</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eastAsia"/>
                <w:color w:val="000000"/>
                <w:spacing w:val="4"/>
              </w:rPr>
              <w:t>0.05</w:t>
            </w:r>
          </w:p>
        </w:tc>
        <w:tc>
          <w:tcPr>
            <w:tcW w:w="1150"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r>
              <w:rPr>
                <w:rFonts w:hint="eastAsia"/>
                <w:color w:val="000000"/>
                <w:spacing w:val="4"/>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restart"/>
            <w:noWrap w:val="0"/>
            <w:vAlign w:val="center"/>
          </w:tcPr>
          <w:p>
            <w:pPr>
              <w:pStyle w:val="6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危险固废</w:t>
            </w:r>
          </w:p>
        </w:tc>
        <w:tc>
          <w:tcPr>
            <w:tcW w:w="2711" w:type="dxa"/>
            <w:gridSpan w:val="2"/>
            <w:noWrap w:val="0"/>
            <w:vAlign w:val="center"/>
          </w:tcPr>
          <w:p>
            <w:pPr>
              <w:pStyle w:val="61"/>
              <w:rPr>
                <w:rFonts w:hint="default" w:ascii="Times New Roman" w:hAnsi="Times New Roman" w:eastAsia="宋体" w:cs="Times New Roman"/>
                <w:sz w:val="21"/>
                <w:szCs w:val="21"/>
              </w:rPr>
            </w:pPr>
            <w:r>
              <w:rPr>
                <w:rFonts w:hint="eastAsia"/>
                <w:color w:val="000000"/>
                <w:szCs w:val="21"/>
              </w:rPr>
              <w:t>清洗废液</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tabs>
                <w:tab w:val="left" w:pos="0"/>
              </w:tabs>
              <w:adjustRightInd w:val="0"/>
              <w:snapToGrid w:val="0"/>
              <w:jc w:val="center"/>
              <w:textAlignment w:val="baseline"/>
              <w:rPr>
                <w:rFonts w:hint="default" w:ascii="Times New Roman" w:hAnsi="Times New Roman" w:eastAsia="宋体" w:cs="Times New Roman"/>
                <w:bCs/>
                <w:sz w:val="21"/>
                <w:szCs w:val="21"/>
              </w:rPr>
            </w:pPr>
            <w:r>
              <w:rPr>
                <w:rFonts w:hint="eastAsia"/>
                <w:color w:val="000000"/>
                <w:spacing w:val="4"/>
              </w:rPr>
              <w:t>0.172</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eastAsia"/>
                <w:color w:val="000000"/>
                <w:spacing w:val="4"/>
              </w:rPr>
              <w:t>0.172</w:t>
            </w:r>
          </w:p>
        </w:tc>
        <w:tc>
          <w:tcPr>
            <w:tcW w:w="1150" w:type="dxa"/>
            <w:noWrap w:val="0"/>
            <w:vAlign w:val="center"/>
          </w:tcPr>
          <w:p>
            <w:pPr>
              <w:tabs>
                <w:tab w:val="left" w:pos="0"/>
              </w:tabs>
              <w:adjustRightInd w:val="0"/>
              <w:snapToGrid w:val="0"/>
              <w:jc w:val="center"/>
              <w:textAlignment w:val="baseline"/>
              <w:rPr>
                <w:rFonts w:hint="default" w:ascii="Times New Roman" w:hAnsi="Times New Roman" w:eastAsia="宋体" w:cs="Times New Roman"/>
                <w:bCs/>
                <w:sz w:val="21"/>
                <w:szCs w:val="21"/>
              </w:rPr>
            </w:pPr>
            <w:r>
              <w:rPr>
                <w:rFonts w:hint="default" w:ascii="Times New Roman" w:hAnsi="Times New Roman" w:eastAsia="宋体" w:cs="Times New Roman"/>
                <w:color w:val="000000"/>
                <w:sz w:val="21"/>
                <w:szCs w:val="21"/>
              </w:rPr>
              <w:t>+</w:t>
            </w:r>
            <w:r>
              <w:rPr>
                <w:rFonts w:hint="eastAsia"/>
                <w:color w:val="000000"/>
                <w:spacing w:val="4"/>
              </w:rPr>
              <w:t>0.172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2711" w:type="dxa"/>
            <w:gridSpan w:val="2"/>
            <w:noWrap w:val="0"/>
            <w:vAlign w:val="center"/>
          </w:tcPr>
          <w:p>
            <w:pPr>
              <w:pStyle w:val="61"/>
              <w:rPr>
                <w:rFonts w:hint="default" w:ascii="Times New Roman" w:hAnsi="Times New Roman" w:eastAsia="宋体" w:cs="Times New Roman"/>
                <w:sz w:val="21"/>
                <w:szCs w:val="21"/>
              </w:rPr>
            </w:pPr>
            <w:r>
              <w:rPr>
                <w:color w:val="000000"/>
                <w:szCs w:val="21"/>
              </w:rPr>
              <w:t>废擦拭纸</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0</w:t>
            </w:r>
          </w:p>
        </w:tc>
        <w:tc>
          <w:tcPr>
            <w:tcW w:w="115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0</w:t>
            </w:r>
          </w:p>
        </w:tc>
        <w:tc>
          <w:tcPr>
            <w:tcW w:w="1563"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382" w:type="dxa"/>
            <w:noWrap w:val="0"/>
            <w:vAlign w:val="center"/>
          </w:tcPr>
          <w:p>
            <w:pPr>
              <w:tabs>
                <w:tab w:val="left" w:pos="0"/>
              </w:tabs>
              <w:adjustRightInd w:val="0"/>
              <w:snapToGrid w:val="0"/>
              <w:jc w:val="center"/>
              <w:textAlignment w:val="baseline"/>
              <w:rPr>
                <w:rFonts w:hint="default" w:ascii="Times New Roman" w:hAnsi="Times New Roman" w:eastAsia="宋体" w:cs="Times New Roman"/>
                <w:bCs/>
                <w:sz w:val="21"/>
                <w:szCs w:val="21"/>
              </w:rPr>
            </w:pPr>
            <w:r>
              <w:rPr>
                <w:rFonts w:hint="eastAsia"/>
                <w:color w:val="000000"/>
                <w:spacing w:val="4"/>
              </w:rPr>
              <w:t>0.</w:t>
            </w:r>
            <w:r>
              <w:rPr>
                <w:rFonts w:hint="eastAsia"/>
                <w:color w:val="000000"/>
                <w:spacing w:val="4"/>
                <w:lang w:val="en-US" w:eastAsia="zh-CN"/>
              </w:rPr>
              <w:t>1</w:t>
            </w:r>
          </w:p>
        </w:tc>
        <w:tc>
          <w:tcPr>
            <w:tcW w:w="160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51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eastAsia"/>
                <w:color w:val="000000"/>
                <w:spacing w:val="4"/>
              </w:rPr>
              <w:t>0.</w:t>
            </w:r>
            <w:r>
              <w:rPr>
                <w:rFonts w:hint="eastAsia"/>
                <w:color w:val="000000"/>
                <w:spacing w:val="4"/>
                <w:lang w:val="en-US" w:eastAsia="zh-CN"/>
              </w:rPr>
              <w:t>1</w:t>
            </w:r>
          </w:p>
        </w:tc>
        <w:tc>
          <w:tcPr>
            <w:tcW w:w="1150" w:type="dxa"/>
            <w:noWrap w:val="0"/>
            <w:vAlign w:val="center"/>
          </w:tcPr>
          <w:p>
            <w:pPr>
              <w:tabs>
                <w:tab w:val="left" w:pos="0"/>
              </w:tabs>
              <w:adjustRightInd w:val="0"/>
              <w:snapToGrid w:val="0"/>
              <w:jc w:val="center"/>
              <w:textAlignment w:val="baseline"/>
              <w:rPr>
                <w:rFonts w:hint="default" w:ascii="Times New Roman" w:hAnsi="Times New Roman" w:eastAsia="宋体" w:cs="Times New Roman"/>
                <w:bCs/>
                <w:sz w:val="21"/>
                <w:szCs w:val="21"/>
              </w:rPr>
            </w:pPr>
            <w:r>
              <w:rPr>
                <w:rFonts w:hint="default" w:ascii="Times New Roman" w:hAnsi="Times New Roman" w:eastAsia="宋体" w:cs="Times New Roman"/>
                <w:color w:val="000000"/>
                <w:sz w:val="21"/>
                <w:szCs w:val="21"/>
              </w:rPr>
              <w:t>+</w:t>
            </w:r>
            <w:r>
              <w:rPr>
                <w:rFonts w:hint="eastAsia"/>
                <w:color w:val="000000"/>
                <w:spacing w:val="4"/>
              </w:rPr>
              <w:t>0.</w:t>
            </w:r>
            <w:r>
              <w:rPr>
                <w:rFonts w:hint="eastAsia"/>
                <w:color w:val="000000"/>
                <w:spacing w:val="4"/>
                <w:lang w:val="en-US" w:eastAsia="zh-CN"/>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2711" w:type="dxa"/>
            <w:gridSpan w:val="2"/>
            <w:noWrap w:val="0"/>
            <w:vAlign w:val="center"/>
          </w:tcPr>
          <w:p>
            <w:pPr>
              <w:pStyle w:val="61"/>
              <w:rPr>
                <w:rFonts w:hint="default" w:ascii="Times New Roman" w:hAnsi="Times New Roman" w:eastAsia="宋体" w:cs="Times New Roman"/>
                <w:sz w:val="21"/>
                <w:szCs w:val="21"/>
              </w:rPr>
            </w:pPr>
            <w:r>
              <w:rPr>
                <w:rFonts w:hint="eastAsia"/>
                <w:color w:val="000000"/>
                <w:szCs w:val="21"/>
              </w:rPr>
              <w:t>废包装桶</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15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0</w:t>
            </w:r>
          </w:p>
        </w:tc>
        <w:tc>
          <w:tcPr>
            <w:tcW w:w="1563"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382" w:type="dxa"/>
            <w:noWrap w:val="0"/>
            <w:vAlign w:val="center"/>
          </w:tcPr>
          <w:p>
            <w:pPr>
              <w:tabs>
                <w:tab w:val="left" w:pos="0"/>
              </w:tabs>
              <w:adjustRightInd w:val="0"/>
              <w:snapToGrid w:val="0"/>
              <w:jc w:val="center"/>
              <w:textAlignment w:val="baseline"/>
              <w:rPr>
                <w:rFonts w:hint="default" w:ascii="Times New Roman" w:hAnsi="Times New Roman" w:eastAsia="宋体" w:cs="Times New Roman"/>
                <w:color w:val="000000"/>
                <w:sz w:val="21"/>
                <w:szCs w:val="21"/>
              </w:rPr>
            </w:pPr>
            <w:r>
              <w:rPr>
                <w:rFonts w:hint="eastAsia"/>
                <w:color w:val="000000"/>
                <w:spacing w:val="4"/>
                <w:lang w:val="en-US" w:eastAsia="zh-CN"/>
              </w:rPr>
              <w:t>0.4</w:t>
            </w:r>
          </w:p>
        </w:tc>
        <w:tc>
          <w:tcPr>
            <w:tcW w:w="1600" w:type="dxa"/>
            <w:noWrap w:val="0"/>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w:t>
            </w:r>
          </w:p>
        </w:tc>
        <w:tc>
          <w:tcPr>
            <w:tcW w:w="151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eastAsia"/>
                <w:color w:val="000000"/>
                <w:spacing w:val="4"/>
                <w:lang w:val="en-US" w:eastAsia="zh-CN"/>
              </w:rPr>
              <w:t>0.4</w:t>
            </w:r>
          </w:p>
        </w:tc>
        <w:tc>
          <w:tcPr>
            <w:tcW w:w="1150" w:type="dxa"/>
            <w:noWrap w:val="0"/>
            <w:vAlign w:val="center"/>
          </w:tcPr>
          <w:p>
            <w:pPr>
              <w:tabs>
                <w:tab w:val="left" w:pos="0"/>
              </w:tabs>
              <w:adjustRightInd w:val="0"/>
              <w:snapToGrid w:val="0"/>
              <w:jc w:val="center"/>
              <w:textAlignment w:val="baseline"/>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r>
              <w:rPr>
                <w:rFonts w:hint="eastAsia"/>
                <w:color w:val="000000"/>
                <w:spacing w:val="4"/>
                <w:lang w:val="en-US" w:eastAsia="zh-CN"/>
              </w:rPr>
              <w:t>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287" w:type="dxa"/>
            <w:vMerge w:val="continue"/>
            <w:noWrap w:val="0"/>
            <w:vAlign w:val="center"/>
          </w:tcPr>
          <w:p>
            <w:pPr>
              <w:pStyle w:val="62"/>
              <w:jc w:val="center"/>
              <w:rPr>
                <w:rFonts w:hint="default" w:ascii="Times New Roman" w:hAnsi="Times New Roman" w:eastAsia="宋体" w:cs="Times New Roman"/>
                <w:sz w:val="21"/>
                <w:szCs w:val="21"/>
              </w:rPr>
            </w:pPr>
          </w:p>
        </w:tc>
        <w:tc>
          <w:tcPr>
            <w:tcW w:w="2711" w:type="dxa"/>
            <w:gridSpan w:val="2"/>
            <w:noWrap w:val="0"/>
            <w:vAlign w:val="center"/>
          </w:tcPr>
          <w:p>
            <w:pPr>
              <w:tabs>
                <w:tab w:val="left" w:pos="0"/>
              </w:tabs>
              <w:adjustRightInd w:val="0"/>
              <w:snapToGrid w:val="0"/>
              <w:jc w:val="center"/>
              <w:textAlignment w:val="baseline"/>
              <w:rPr>
                <w:rFonts w:hint="default" w:ascii="Times New Roman" w:hAnsi="Times New Roman" w:eastAsia="宋体" w:cs="Times New Roman"/>
                <w:color w:val="000000"/>
                <w:sz w:val="21"/>
                <w:szCs w:val="21"/>
              </w:rPr>
            </w:pPr>
            <w:r>
              <w:rPr>
                <w:color w:val="000000"/>
                <w:spacing w:val="4"/>
              </w:rPr>
              <w:t>废活性炭</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0</w:t>
            </w:r>
          </w:p>
        </w:tc>
        <w:tc>
          <w:tcPr>
            <w:tcW w:w="115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0</w:t>
            </w:r>
          </w:p>
        </w:tc>
        <w:tc>
          <w:tcPr>
            <w:tcW w:w="1563"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382" w:type="dxa"/>
            <w:noWrap w:val="0"/>
            <w:vAlign w:val="center"/>
          </w:tcPr>
          <w:p>
            <w:pPr>
              <w:tabs>
                <w:tab w:val="left" w:pos="0"/>
              </w:tabs>
              <w:adjustRightInd w:val="0"/>
              <w:snapToGrid w:val="0"/>
              <w:jc w:val="center"/>
              <w:textAlignment w:val="baseline"/>
              <w:rPr>
                <w:rFonts w:hint="default" w:ascii="Times New Roman" w:hAnsi="Times New Roman" w:eastAsia="宋体" w:cs="Times New Roman"/>
                <w:color w:val="000000"/>
                <w:sz w:val="21"/>
                <w:szCs w:val="21"/>
              </w:rPr>
            </w:pPr>
            <w:r>
              <w:rPr>
                <w:rFonts w:hint="eastAsia"/>
                <w:color w:val="000000"/>
                <w:spacing w:val="4"/>
              </w:rPr>
              <w:t>6.59</w:t>
            </w:r>
          </w:p>
        </w:tc>
        <w:tc>
          <w:tcPr>
            <w:tcW w:w="160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51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eastAsia"/>
                <w:color w:val="000000"/>
                <w:spacing w:val="4"/>
              </w:rPr>
              <w:t>6.59</w:t>
            </w:r>
          </w:p>
        </w:tc>
        <w:tc>
          <w:tcPr>
            <w:tcW w:w="1150" w:type="dxa"/>
            <w:noWrap w:val="0"/>
            <w:vAlign w:val="center"/>
          </w:tcPr>
          <w:p>
            <w:pPr>
              <w:tabs>
                <w:tab w:val="left" w:pos="0"/>
              </w:tabs>
              <w:adjustRightInd w:val="0"/>
              <w:snapToGrid w:val="0"/>
              <w:jc w:val="center"/>
              <w:textAlignment w:val="baseline"/>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r>
              <w:rPr>
                <w:rFonts w:hint="eastAsia"/>
                <w:color w:val="000000"/>
                <w:spacing w:val="4"/>
              </w:rPr>
              <w:t>6.59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3998" w:type="dxa"/>
            <w:gridSpan w:val="3"/>
            <w:noWrap w:val="0"/>
            <w:vAlign w:val="center"/>
          </w:tcPr>
          <w:p>
            <w:pPr>
              <w:tabs>
                <w:tab w:val="left" w:pos="0"/>
              </w:tabs>
              <w:adjustRightInd w:val="0"/>
              <w:snapToGrid w:val="0"/>
              <w:jc w:val="center"/>
              <w:textAlignment w:val="baseline"/>
              <w:rPr>
                <w:rFonts w:hint="default" w:eastAsia="宋体"/>
                <w:color w:val="000000"/>
                <w:spacing w:val="4"/>
                <w:lang w:val="en-US" w:eastAsia="zh-CN"/>
              </w:rPr>
            </w:pPr>
            <w:r>
              <w:rPr>
                <w:rFonts w:hint="eastAsia"/>
                <w:color w:val="000000"/>
                <w:spacing w:val="4"/>
                <w:lang w:val="en-US" w:eastAsia="zh-CN"/>
              </w:rPr>
              <w:t>生活垃圾</w:t>
            </w:r>
          </w:p>
        </w:tc>
        <w:tc>
          <w:tcPr>
            <w:tcW w:w="140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15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563"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382" w:type="dxa"/>
            <w:noWrap w:val="0"/>
            <w:vAlign w:val="center"/>
          </w:tcPr>
          <w:p>
            <w:pPr>
              <w:tabs>
                <w:tab w:val="left" w:pos="0"/>
              </w:tabs>
              <w:adjustRightInd w:val="0"/>
              <w:snapToGrid w:val="0"/>
              <w:jc w:val="center"/>
              <w:textAlignment w:val="baseline"/>
              <w:rPr>
                <w:rFonts w:hint="default" w:ascii="Times New Roman" w:hAnsi="Times New Roman" w:eastAsia="宋体" w:cs="Times New Roman"/>
                <w:color w:val="000000"/>
                <w:sz w:val="21"/>
                <w:szCs w:val="21"/>
                <w:lang w:val="en-US" w:eastAsia="zh-CN"/>
              </w:rPr>
            </w:pPr>
            <w:r>
              <w:rPr>
                <w:rFonts w:hint="eastAsia"/>
                <w:color w:val="000000"/>
                <w:spacing w:val="4"/>
              </w:rPr>
              <w:t>30</w:t>
            </w:r>
          </w:p>
        </w:tc>
        <w:tc>
          <w:tcPr>
            <w:tcW w:w="1600"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w:t>
            </w:r>
          </w:p>
        </w:tc>
        <w:tc>
          <w:tcPr>
            <w:tcW w:w="1512" w:type="dxa"/>
            <w:noWrap w:val="0"/>
            <w:vAlign w:val="center"/>
          </w:tcPr>
          <w:p>
            <w:pPr>
              <w:tabs>
                <w:tab w:val="left" w:pos="0"/>
              </w:tabs>
              <w:adjustRightInd w:val="0"/>
              <w:snapToGrid w:val="0"/>
              <w:jc w:val="center"/>
              <w:textAlignment w:val="baseline"/>
              <w:rPr>
                <w:rFonts w:hint="default" w:ascii="Times New Roman" w:hAnsi="Times New Roman" w:eastAsia="宋体" w:cs="Times New Roman"/>
                <w:sz w:val="21"/>
                <w:szCs w:val="21"/>
              </w:rPr>
            </w:pPr>
            <w:r>
              <w:rPr>
                <w:rFonts w:hint="eastAsia"/>
                <w:color w:val="000000"/>
                <w:spacing w:val="4"/>
              </w:rPr>
              <w:t>30</w:t>
            </w:r>
          </w:p>
        </w:tc>
        <w:tc>
          <w:tcPr>
            <w:tcW w:w="1150" w:type="dxa"/>
            <w:noWrap w:val="0"/>
            <w:vAlign w:val="center"/>
          </w:tcPr>
          <w:p>
            <w:pPr>
              <w:tabs>
                <w:tab w:val="left" w:pos="0"/>
              </w:tabs>
              <w:adjustRightInd w:val="0"/>
              <w:snapToGrid w:val="0"/>
              <w:jc w:val="center"/>
              <w:textAlignment w:val="baseline"/>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r>
              <w:rPr>
                <w:rFonts w:hint="eastAsia"/>
                <w:color w:val="000000"/>
                <w:spacing w:val="4"/>
              </w:rPr>
              <w:t>30</w:t>
            </w:r>
          </w:p>
        </w:tc>
      </w:tr>
    </w:tbl>
    <w:p>
      <w:pPr>
        <w:jc w:val="left"/>
        <w:rPr>
          <w:rFonts w:hint="eastAsia" w:hAnsi="宋体"/>
          <w:snapToGrid w:val="0"/>
          <w:kern w:val="21"/>
          <w:szCs w:val="21"/>
        </w:rPr>
      </w:pPr>
      <w:r>
        <w:t>注</w:t>
      </w:r>
      <w:r>
        <w:rPr>
          <w:rFonts w:hint="eastAsia"/>
        </w:rPr>
        <w:t>。</w:t>
      </w:r>
      <w:r>
        <w:rPr>
          <w:rFonts w:hAnsi="宋体"/>
          <w:snapToGrid w:val="0"/>
          <w:kern w:val="21"/>
          <w:szCs w:val="21"/>
        </w:rPr>
        <w:fldChar w:fldCharType="begin"/>
      </w:r>
      <w:r>
        <w:rPr>
          <w:rFonts w:hAnsi="宋体"/>
          <w:snapToGrid w:val="0"/>
          <w:kern w:val="21"/>
          <w:szCs w:val="21"/>
        </w:rPr>
        <w:instrText xml:space="preserve"> = 6 \* GB3 \* MERGEFORMAT </w:instrText>
      </w:r>
      <w:r>
        <w:rPr>
          <w:rFonts w:hAnsi="宋体"/>
          <w:snapToGrid w:val="0"/>
          <w:kern w:val="21"/>
          <w:szCs w:val="21"/>
        </w:rPr>
        <w:fldChar w:fldCharType="separate"/>
      </w:r>
      <w:r>
        <w:rPr>
          <w:rFonts w:hint="eastAsia" w:hAnsi="宋体"/>
          <w:szCs w:val="21"/>
        </w:rPr>
        <w:t>⑥</w:t>
      </w:r>
      <w:r>
        <w:rPr>
          <w:rFonts w:hAnsi="宋体"/>
          <w:snapToGrid w:val="0"/>
          <w:kern w:val="21"/>
          <w:szCs w:val="21"/>
        </w:rPr>
        <w:fldChar w:fldCharType="end"/>
      </w:r>
      <w:r>
        <w:rPr>
          <w:rFonts w:hAnsi="宋体"/>
          <w:snapToGrid w:val="0"/>
          <w:kern w:val="21"/>
          <w:szCs w:val="21"/>
        </w:rPr>
        <w:t>=</w:t>
      </w:r>
      <w:r>
        <w:rPr>
          <w:rFonts w:hAnsi="宋体"/>
          <w:snapToGrid w:val="0"/>
          <w:kern w:val="21"/>
          <w:szCs w:val="21"/>
        </w:rPr>
        <w:fldChar w:fldCharType="begin"/>
      </w:r>
      <w:r>
        <w:rPr>
          <w:rFonts w:hAnsi="宋体"/>
          <w:snapToGrid w:val="0"/>
          <w:kern w:val="21"/>
          <w:szCs w:val="21"/>
        </w:rPr>
        <w:instrText xml:space="preserve"> = 1 \* GB3 \* MERGEFORMAT </w:instrText>
      </w:r>
      <w:r>
        <w:rPr>
          <w:rFonts w:hAnsi="宋体"/>
          <w:snapToGrid w:val="0"/>
          <w:kern w:val="21"/>
          <w:szCs w:val="21"/>
        </w:rPr>
        <w:fldChar w:fldCharType="separate"/>
      </w:r>
      <w:r>
        <w:rPr>
          <w:rFonts w:hint="eastAsia" w:hAnsi="宋体"/>
          <w:szCs w:val="21"/>
        </w:rPr>
        <w:t>①</w:t>
      </w:r>
      <w:r>
        <w:rPr>
          <w:rFonts w:hAnsi="宋体"/>
          <w:snapToGrid w:val="0"/>
          <w:kern w:val="21"/>
          <w:szCs w:val="21"/>
        </w:rPr>
        <w:fldChar w:fldCharType="end"/>
      </w:r>
      <w:r>
        <w:rPr>
          <w:rFonts w:hAnsi="宋体"/>
          <w:snapToGrid w:val="0"/>
          <w:kern w:val="21"/>
          <w:szCs w:val="21"/>
        </w:rPr>
        <w:t>+</w:t>
      </w:r>
      <w:r>
        <w:rPr>
          <w:rFonts w:hAnsi="宋体"/>
          <w:snapToGrid w:val="0"/>
          <w:kern w:val="21"/>
          <w:szCs w:val="21"/>
        </w:rPr>
        <w:fldChar w:fldCharType="begin"/>
      </w:r>
      <w:r>
        <w:rPr>
          <w:rFonts w:hAnsi="宋体"/>
          <w:snapToGrid w:val="0"/>
          <w:kern w:val="21"/>
          <w:szCs w:val="21"/>
        </w:rPr>
        <w:instrText xml:space="preserve"> = 3 \* GB3 \* MERGEFORMAT </w:instrText>
      </w:r>
      <w:r>
        <w:rPr>
          <w:rFonts w:hAnsi="宋体"/>
          <w:snapToGrid w:val="0"/>
          <w:kern w:val="21"/>
          <w:szCs w:val="21"/>
        </w:rPr>
        <w:fldChar w:fldCharType="separate"/>
      </w:r>
      <w:r>
        <w:rPr>
          <w:rFonts w:hint="eastAsia" w:hAnsi="宋体"/>
          <w:szCs w:val="21"/>
        </w:rPr>
        <w:t>③</w:t>
      </w:r>
      <w:r>
        <w:rPr>
          <w:rFonts w:hAnsi="宋体"/>
          <w:snapToGrid w:val="0"/>
          <w:kern w:val="21"/>
          <w:szCs w:val="21"/>
        </w:rPr>
        <w:fldChar w:fldCharType="end"/>
      </w:r>
      <w:r>
        <w:rPr>
          <w:rFonts w:hAnsi="宋体"/>
          <w:snapToGrid w:val="0"/>
          <w:kern w:val="21"/>
          <w:szCs w:val="21"/>
        </w:rPr>
        <w:t>+</w:t>
      </w:r>
      <w:r>
        <w:rPr>
          <w:rFonts w:hAnsi="宋体"/>
          <w:snapToGrid w:val="0"/>
          <w:kern w:val="21"/>
          <w:szCs w:val="21"/>
        </w:rPr>
        <w:fldChar w:fldCharType="begin"/>
      </w:r>
      <w:r>
        <w:rPr>
          <w:rFonts w:hAnsi="宋体"/>
          <w:snapToGrid w:val="0"/>
          <w:kern w:val="21"/>
          <w:szCs w:val="21"/>
        </w:rPr>
        <w:instrText xml:space="preserve"> = 4 \* GB3 \* MERGEFORMAT </w:instrText>
      </w:r>
      <w:r>
        <w:rPr>
          <w:rFonts w:hAnsi="宋体"/>
          <w:snapToGrid w:val="0"/>
          <w:kern w:val="21"/>
          <w:szCs w:val="21"/>
        </w:rPr>
        <w:fldChar w:fldCharType="separate"/>
      </w:r>
      <w:r>
        <w:rPr>
          <w:rFonts w:hint="eastAsia" w:hAnsi="宋体"/>
          <w:szCs w:val="21"/>
        </w:rPr>
        <w:t>④</w:t>
      </w:r>
      <w:r>
        <w:rPr>
          <w:rFonts w:hAnsi="宋体"/>
          <w:snapToGrid w:val="0"/>
          <w:kern w:val="21"/>
          <w:szCs w:val="21"/>
        </w:rPr>
        <w:fldChar w:fldCharType="end"/>
      </w:r>
      <w:r>
        <w:rPr>
          <w:rFonts w:hAnsi="宋体"/>
          <w:snapToGrid w:val="0"/>
          <w:kern w:val="21"/>
          <w:szCs w:val="21"/>
        </w:rPr>
        <w:t>-</w:t>
      </w:r>
      <w:r>
        <w:rPr>
          <w:rFonts w:hAnsi="宋体"/>
          <w:snapToGrid w:val="0"/>
          <w:kern w:val="21"/>
          <w:szCs w:val="21"/>
        </w:rPr>
        <w:fldChar w:fldCharType="begin"/>
      </w:r>
      <w:r>
        <w:rPr>
          <w:rFonts w:hAnsi="宋体"/>
          <w:snapToGrid w:val="0"/>
          <w:kern w:val="21"/>
          <w:szCs w:val="21"/>
        </w:rPr>
        <w:instrText xml:space="preserve"> = 5 \* GB3 \* MERGEFORMAT </w:instrText>
      </w:r>
      <w:r>
        <w:rPr>
          <w:rFonts w:hAnsi="宋体"/>
          <w:snapToGrid w:val="0"/>
          <w:kern w:val="21"/>
          <w:szCs w:val="21"/>
        </w:rPr>
        <w:fldChar w:fldCharType="separate"/>
      </w:r>
      <w:r>
        <w:rPr>
          <w:rFonts w:hint="eastAsia" w:hAnsi="宋体"/>
          <w:szCs w:val="21"/>
        </w:rPr>
        <w:t>⑤</w:t>
      </w:r>
      <w:r>
        <w:rPr>
          <w:rFonts w:hAnsi="宋体"/>
          <w:snapToGrid w:val="0"/>
          <w:kern w:val="21"/>
          <w:szCs w:val="21"/>
        </w:rPr>
        <w:fldChar w:fldCharType="end"/>
      </w:r>
      <w:r>
        <w:rPr>
          <w:rFonts w:hAnsi="宋体"/>
          <w:snapToGrid w:val="0"/>
          <w:kern w:val="21"/>
          <w:szCs w:val="21"/>
        </w:rPr>
        <w:t>；</w:t>
      </w:r>
      <w:r>
        <w:rPr>
          <w:rFonts w:hAnsi="宋体"/>
          <w:snapToGrid w:val="0"/>
          <w:kern w:val="21"/>
          <w:szCs w:val="21"/>
        </w:rPr>
        <w:fldChar w:fldCharType="begin"/>
      </w:r>
      <w:r>
        <w:rPr>
          <w:rFonts w:hAnsi="宋体"/>
          <w:snapToGrid w:val="0"/>
          <w:kern w:val="21"/>
          <w:szCs w:val="21"/>
        </w:rPr>
        <w:instrText xml:space="preserve"> = 7 \* GB3 \* MERGEFORMAT </w:instrText>
      </w:r>
      <w:r>
        <w:rPr>
          <w:rFonts w:hAnsi="宋体"/>
          <w:snapToGrid w:val="0"/>
          <w:kern w:val="21"/>
          <w:szCs w:val="21"/>
        </w:rPr>
        <w:fldChar w:fldCharType="separate"/>
      </w:r>
      <w:r>
        <w:rPr>
          <w:rFonts w:hint="eastAsia" w:hAnsi="宋体"/>
          <w:szCs w:val="21"/>
        </w:rPr>
        <w:t>⑦</w:t>
      </w:r>
      <w:r>
        <w:rPr>
          <w:rFonts w:hAnsi="宋体"/>
          <w:snapToGrid w:val="0"/>
          <w:kern w:val="21"/>
          <w:szCs w:val="21"/>
        </w:rPr>
        <w:fldChar w:fldCharType="end"/>
      </w:r>
      <w:r>
        <w:rPr>
          <w:rFonts w:hAnsi="宋体"/>
          <w:snapToGrid w:val="0"/>
          <w:kern w:val="21"/>
          <w:szCs w:val="21"/>
        </w:rPr>
        <w:t>=</w:t>
      </w:r>
      <w:r>
        <w:rPr>
          <w:rFonts w:hAnsi="宋体"/>
          <w:snapToGrid w:val="0"/>
          <w:kern w:val="21"/>
          <w:szCs w:val="21"/>
        </w:rPr>
        <w:fldChar w:fldCharType="begin"/>
      </w:r>
      <w:r>
        <w:rPr>
          <w:rFonts w:hAnsi="宋体"/>
          <w:snapToGrid w:val="0"/>
          <w:kern w:val="21"/>
          <w:szCs w:val="21"/>
        </w:rPr>
        <w:instrText xml:space="preserve"> = 6 \* GB3 \* MERGEFORMAT </w:instrText>
      </w:r>
      <w:r>
        <w:rPr>
          <w:rFonts w:hAnsi="宋体"/>
          <w:snapToGrid w:val="0"/>
          <w:kern w:val="21"/>
          <w:szCs w:val="21"/>
        </w:rPr>
        <w:fldChar w:fldCharType="separate"/>
      </w:r>
      <w:r>
        <w:rPr>
          <w:rFonts w:hint="eastAsia" w:hAnsi="宋体"/>
          <w:szCs w:val="21"/>
        </w:rPr>
        <w:t>⑥</w:t>
      </w:r>
      <w:r>
        <w:rPr>
          <w:rFonts w:hAnsi="宋体"/>
          <w:snapToGrid w:val="0"/>
          <w:kern w:val="21"/>
          <w:szCs w:val="21"/>
        </w:rPr>
        <w:fldChar w:fldCharType="end"/>
      </w:r>
      <w:r>
        <w:rPr>
          <w:rFonts w:hAnsi="宋体"/>
          <w:snapToGrid w:val="0"/>
          <w:kern w:val="21"/>
          <w:szCs w:val="21"/>
        </w:rPr>
        <w:t>-</w:t>
      </w:r>
      <w:r>
        <w:rPr>
          <w:rFonts w:hAnsi="宋体"/>
          <w:snapToGrid w:val="0"/>
          <w:kern w:val="21"/>
          <w:szCs w:val="21"/>
        </w:rPr>
        <w:fldChar w:fldCharType="begin"/>
      </w:r>
      <w:r>
        <w:rPr>
          <w:rFonts w:hAnsi="宋体"/>
          <w:snapToGrid w:val="0"/>
          <w:kern w:val="21"/>
          <w:szCs w:val="21"/>
        </w:rPr>
        <w:instrText xml:space="preserve"> = 1 \* GB3 \* MERGEFORMAT </w:instrText>
      </w:r>
      <w:r>
        <w:rPr>
          <w:rFonts w:hAnsi="宋体"/>
          <w:snapToGrid w:val="0"/>
          <w:kern w:val="21"/>
          <w:szCs w:val="21"/>
        </w:rPr>
        <w:fldChar w:fldCharType="separate"/>
      </w:r>
      <w:r>
        <w:rPr>
          <w:rFonts w:hint="eastAsia" w:hAnsi="宋体"/>
          <w:szCs w:val="21"/>
        </w:rPr>
        <w:t>①</w:t>
      </w:r>
      <w:r>
        <w:rPr>
          <w:rFonts w:hAnsi="宋体"/>
          <w:snapToGrid w:val="0"/>
          <w:kern w:val="21"/>
          <w:szCs w:val="21"/>
        </w:rPr>
        <w:fldChar w:fldCharType="end"/>
      </w:r>
    </w:p>
    <w:p>
      <w:pPr>
        <w:adjustRightInd w:val="0"/>
        <w:snapToGrid w:val="0"/>
        <w:spacing w:line="480" w:lineRule="exact"/>
        <w:ind w:firstLine="480" w:firstLineChars="200"/>
        <w:rPr>
          <w:rFonts w:hint="eastAsia"/>
          <w:sz w:val="24"/>
        </w:rPr>
      </w:pPr>
    </w:p>
    <w:p>
      <w:pPr>
        <w:ind w:firstLine="315" w:firstLineChars="150"/>
      </w:pPr>
    </w:p>
    <w:sectPr>
      <w:footerReference r:id="rId4" w:type="default"/>
      <w:pgSz w:w="16838" w:h="11906" w:orient="landscape"/>
      <w:pgMar w:top="1531" w:right="1701" w:bottom="1531" w:left="1701" w:header="851" w:footer="8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TimesNewRomanPSMT">
    <w:altName w:val="Times New Roman"/>
    <w:panose1 w:val="00000000000000000000"/>
    <w:charset w:val="00"/>
    <w:family w:val="roman"/>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3"/>
        <w:rFonts w:ascii="宋体" w:hAnsi="宋体"/>
        <w:sz w:val="28"/>
        <w:szCs w:val="28"/>
      </w:rPr>
    </w:pPr>
    <w:r>
      <w:rPr>
        <w:rStyle w:val="23"/>
        <w:rFonts w:hint="eastAsia" w:ascii="宋体" w:hAnsi="宋体"/>
        <w:sz w:val="28"/>
        <w:szCs w:val="28"/>
      </w:rPr>
      <w:t>—</w:t>
    </w:r>
    <w:r>
      <w:rPr>
        <w:rStyle w:val="23"/>
        <w:rFonts w:hint="eastAsia" w:ascii="宋体" w:hAnsi="宋体"/>
        <w:sz w:val="20"/>
      </w:rPr>
      <w:t xml:space="preserve">  </w:t>
    </w:r>
    <w:r>
      <w:rPr>
        <w:rFonts w:ascii="宋体" w:hAnsi="宋体"/>
        <w:sz w:val="26"/>
        <w:szCs w:val="26"/>
      </w:rPr>
      <w:fldChar w:fldCharType="begin"/>
    </w:r>
    <w:r>
      <w:rPr>
        <w:rStyle w:val="23"/>
        <w:rFonts w:ascii="宋体" w:hAnsi="宋体"/>
        <w:sz w:val="26"/>
        <w:szCs w:val="26"/>
      </w:rPr>
      <w:instrText xml:space="preserve">PAGE  </w:instrText>
    </w:r>
    <w:r>
      <w:rPr>
        <w:rFonts w:ascii="宋体" w:hAnsi="宋体"/>
        <w:sz w:val="26"/>
        <w:szCs w:val="26"/>
      </w:rPr>
      <w:fldChar w:fldCharType="separate"/>
    </w:r>
    <w:r>
      <w:rPr>
        <w:rStyle w:val="23"/>
        <w:rFonts w:ascii="宋体" w:hAnsi="宋体"/>
        <w:sz w:val="26"/>
        <w:szCs w:val="26"/>
      </w:rPr>
      <w:t>48</w:t>
    </w:r>
    <w:r>
      <w:rPr>
        <w:rFonts w:ascii="宋体" w:hAnsi="宋体"/>
        <w:sz w:val="26"/>
        <w:szCs w:val="26"/>
      </w:rPr>
      <w:fldChar w:fldCharType="end"/>
    </w:r>
    <w:r>
      <w:rPr>
        <w:rStyle w:val="23"/>
        <w:rFonts w:hint="eastAsia" w:ascii="宋体" w:hAnsi="宋体"/>
        <w:sz w:val="20"/>
      </w:rPr>
      <w:t xml:space="preserve">  </w:t>
    </w:r>
    <w:r>
      <w:rPr>
        <w:rStyle w:val="23"/>
        <w:rFonts w:hint="eastAsia" w:ascii="宋体" w:hAnsi="宋体"/>
        <w:sz w:val="28"/>
        <w:szCs w:val="28"/>
      </w:rPr>
      <w:t>—</w:t>
    </w:r>
  </w:p>
  <w:p>
    <w:pPr>
      <w:pStyle w:val="1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3"/>
        <w:rFonts w:ascii="宋体" w:hAnsi="宋体"/>
        <w:sz w:val="28"/>
        <w:szCs w:val="28"/>
      </w:rPr>
    </w:pPr>
    <w:r>
      <w:rPr>
        <w:rStyle w:val="23"/>
        <w:rFonts w:hint="eastAsia" w:ascii="宋体" w:hAnsi="宋体"/>
        <w:sz w:val="28"/>
        <w:szCs w:val="28"/>
      </w:rPr>
      <w:t>—</w:t>
    </w:r>
    <w:r>
      <w:rPr>
        <w:rStyle w:val="23"/>
        <w:rFonts w:hint="eastAsia" w:ascii="宋体" w:hAnsi="宋体"/>
        <w:sz w:val="20"/>
      </w:rPr>
      <w:t xml:space="preserve">  </w:t>
    </w:r>
    <w:r>
      <w:rPr>
        <w:rFonts w:ascii="宋体" w:hAnsi="宋体"/>
        <w:sz w:val="26"/>
        <w:szCs w:val="26"/>
      </w:rPr>
      <w:fldChar w:fldCharType="begin"/>
    </w:r>
    <w:r>
      <w:rPr>
        <w:rStyle w:val="23"/>
        <w:rFonts w:ascii="宋体" w:hAnsi="宋体"/>
        <w:sz w:val="26"/>
        <w:szCs w:val="26"/>
      </w:rPr>
      <w:instrText xml:space="preserve">PAGE  </w:instrText>
    </w:r>
    <w:r>
      <w:rPr>
        <w:rFonts w:ascii="宋体" w:hAnsi="宋体"/>
        <w:sz w:val="26"/>
        <w:szCs w:val="26"/>
      </w:rPr>
      <w:fldChar w:fldCharType="separate"/>
    </w:r>
    <w:r>
      <w:rPr>
        <w:rStyle w:val="23"/>
        <w:rFonts w:ascii="宋体" w:hAnsi="宋体"/>
        <w:sz w:val="26"/>
        <w:szCs w:val="26"/>
      </w:rPr>
      <w:t>71</w:t>
    </w:r>
    <w:r>
      <w:rPr>
        <w:rFonts w:ascii="宋体" w:hAnsi="宋体"/>
        <w:sz w:val="26"/>
        <w:szCs w:val="26"/>
      </w:rPr>
      <w:fldChar w:fldCharType="end"/>
    </w:r>
    <w:r>
      <w:rPr>
        <w:rStyle w:val="23"/>
        <w:rFonts w:hint="eastAsia" w:ascii="宋体" w:hAnsi="宋体"/>
        <w:sz w:val="20"/>
      </w:rPr>
      <w:t xml:space="preserve">  </w:t>
    </w:r>
    <w:r>
      <w:rPr>
        <w:rStyle w:val="23"/>
        <w:rFonts w:hint="eastAsia" w:ascii="宋体" w:hAnsi="宋体"/>
        <w:sz w:val="28"/>
        <w:szCs w:val="28"/>
      </w:rPr>
      <w:t>—</w:t>
    </w:r>
  </w:p>
  <w:p>
    <w:pPr>
      <w:pStyle w:val="13"/>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161BEC"/>
    <w:multiLevelType w:val="singleLevel"/>
    <w:tmpl w:val="87161BEC"/>
    <w:lvl w:ilvl="0" w:tentative="0">
      <w:start w:val="1"/>
      <w:numFmt w:val="decimal"/>
      <w:suff w:val="nothing"/>
      <w:lvlText w:val="（%1）"/>
      <w:lvlJc w:val="left"/>
    </w:lvl>
  </w:abstractNum>
  <w:abstractNum w:abstractNumId="1">
    <w:nsid w:val="9D01105E"/>
    <w:multiLevelType w:val="singleLevel"/>
    <w:tmpl w:val="9D01105E"/>
    <w:lvl w:ilvl="0" w:tentative="0">
      <w:start w:val="1"/>
      <w:numFmt w:val="decimal"/>
      <w:suff w:val="nothing"/>
      <w:lvlText w:val="（%1）"/>
      <w:lvlJc w:val="left"/>
    </w:lvl>
  </w:abstractNum>
  <w:abstractNum w:abstractNumId="2">
    <w:nsid w:val="B830EA65"/>
    <w:multiLevelType w:val="singleLevel"/>
    <w:tmpl w:val="B830EA65"/>
    <w:lvl w:ilvl="0" w:tentative="0">
      <w:start w:val="1"/>
      <w:numFmt w:val="decimal"/>
      <w:suff w:val="nothing"/>
      <w:lvlText w:val="%1）"/>
      <w:lvlJc w:val="left"/>
    </w:lvl>
  </w:abstractNum>
  <w:abstractNum w:abstractNumId="3">
    <w:nsid w:val="C0FBCC6D"/>
    <w:multiLevelType w:val="singleLevel"/>
    <w:tmpl w:val="C0FBCC6D"/>
    <w:lvl w:ilvl="0" w:tentative="0">
      <w:start w:val="1"/>
      <w:numFmt w:val="decimal"/>
      <w:suff w:val="nothing"/>
      <w:lvlText w:val="（%1）"/>
      <w:lvlJc w:val="left"/>
    </w:lvl>
  </w:abstractNum>
  <w:abstractNum w:abstractNumId="4">
    <w:nsid w:val="EAF63D2F"/>
    <w:multiLevelType w:val="singleLevel"/>
    <w:tmpl w:val="EAF63D2F"/>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5">
    <w:nsid w:val="751F6CDB"/>
    <w:multiLevelType w:val="singleLevel"/>
    <w:tmpl w:val="751F6CDB"/>
    <w:lvl w:ilvl="0" w:tentative="0">
      <w:start w:val="2"/>
      <w:numFmt w:val="chineseCounting"/>
      <w:suff w:val="nothing"/>
      <w:lvlText w:val="%1、"/>
      <w:lvlJc w:val="left"/>
      <w:rPr>
        <w:rFonts w:hint="eastAsia"/>
      </w:rPr>
    </w:lvl>
  </w:abstractNum>
  <w:num w:numId="1">
    <w:abstractNumId w:val="4"/>
  </w:num>
  <w:num w:numId="2">
    <w:abstractNumId w:val="3"/>
  </w:num>
  <w:num w:numId="3">
    <w:abstractNumId w:val="1"/>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mMjk2MGI5YzI2ZWFhOGRmYWY1OGZjZmMxYTMzYjYifQ=="/>
  </w:docVars>
  <w:rsids>
    <w:rsidRoot w:val="00172A27"/>
    <w:rsid w:val="00001C26"/>
    <w:rsid w:val="000060B3"/>
    <w:rsid w:val="0004364B"/>
    <w:rsid w:val="000534D2"/>
    <w:rsid w:val="00056849"/>
    <w:rsid w:val="00061B1F"/>
    <w:rsid w:val="000733C4"/>
    <w:rsid w:val="00074783"/>
    <w:rsid w:val="0008070B"/>
    <w:rsid w:val="000810AC"/>
    <w:rsid w:val="00081A02"/>
    <w:rsid w:val="00082231"/>
    <w:rsid w:val="00092D38"/>
    <w:rsid w:val="0009377B"/>
    <w:rsid w:val="000A20C9"/>
    <w:rsid w:val="000B058F"/>
    <w:rsid w:val="000B4467"/>
    <w:rsid w:val="000B4DB9"/>
    <w:rsid w:val="000B69E0"/>
    <w:rsid w:val="000C09AC"/>
    <w:rsid w:val="000C767F"/>
    <w:rsid w:val="000D5A44"/>
    <w:rsid w:val="000E35FC"/>
    <w:rsid w:val="000E3ED2"/>
    <w:rsid w:val="00103BAE"/>
    <w:rsid w:val="00127F82"/>
    <w:rsid w:val="00131F42"/>
    <w:rsid w:val="001357F1"/>
    <w:rsid w:val="00140FA8"/>
    <w:rsid w:val="00142FEB"/>
    <w:rsid w:val="00143A2D"/>
    <w:rsid w:val="00145A41"/>
    <w:rsid w:val="00151675"/>
    <w:rsid w:val="00156D41"/>
    <w:rsid w:val="00157435"/>
    <w:rsid w:val="00172A27"/>
    <w:rsid w:val="0017504D"/>
    <w:rsid w:val="0017671A"/>
    <w:rsid w:val="00177422"/>
    <w:rsid w:val="00184590"/>
    <w:rsid w:val="001870D1"/>
    <w:rsid w:val="0018781E"/>
    <w:rsid w:val="0019262D"/>
    <w:rsid w:val="001A00F4"/>
    <w:rsid w:val="001A1B35"/>
    <w:rsid w:val="001A48A2"/>
    <w:rsid w:val="001A6F61"/>
    <w:rsid w:val="001B72B8"/>
    <w:rsid w:val="001C69B3"/>
    <w:rsid w:val="001D5595"/>
    <w:rsid w:val="001D7874"/>
    <w:rsid w:val="001D7F22"/>
    <w:rsid w:val="001F0F17"/>
    <w:rsid w:val="001F3347"/>
    <w:rsid w:val="001F69E4"/>
    <w:rsid w:val="002043EE"/>
    <w:rsid w:val="00210B15"/>
    <w:rsid w:val="002125B4"/>
    <w:rsid w:val="002155B8"/>
    <w:rsid w:val="00224839"/>
    <w:rsid w:val="002249B2"/>
    <w:rsid w:val="00226574"/>
    <w:rsid w:val="002278EC"/>
    <w:rsid w:val="0023280E"/>
    <w:rsid w:val="002377D1"/>
    <w:rsid w:val="002506BC"/>
    <w:rsid w:val="00254345"/>
    <w:rsid w:val="00263BBE"/>
    <w:rsid w:val="00264557"/>
    <w:rsid w:val="002777D4"/>
    <w:rsid w:val="002805AB"/>
    <w:rsid w:val="00284204"/>
    <w:rsid w:val="00284C2C"/>
    <w:rsid w:val="00291773"/>
    <w:rsid w:val="002A168C"/>
    <w:rsid w:val="002A3DC7"/>
    <w:rsid w:val="002B283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07F4"/>
    <w:rsid w:val="00331848"/>
    <w:rsid w:val="00332349"/>
    <w:rsid w:val="00332863"/>
    <w:rsid w:val="0033684D"/>
    <w:rsid w:val="00337B42"/>
    <w:rsid w:val="0034031F"/>
    <w:rsid w:val="00341B42"/>
    <w:rsid w:val="0034348F"/>
    <w:rsid w:val="00356653"/>
    <w:rsid w:val="0035743F"/>
    <w:rsid w:val="00357BE2"/>
    <w:rsid w:val="0036170C"/>
    <w:rsid w:val="00366E0F"/>
    <w:rsid w:val="003672E8"/>
    <w:rsid w:val="00374EB7"/>
    <w:rsid w:val="00381A72"/>
    <w:rsid w:val="00384676"/>
    <w:rsid w:val="00390857"/>
    <w:rsid w:val="003A18CC"/>
    <w:rsid w:val="003A4BF3"/>
    <w:rsid w:val="003B420D"/>
    <w:rsid w:val="003B5652"/>
    <w:rsid w:val="003C6C16"/>
    <w:rsid w:val="003C7458"/>
    <w:rsid w:val="003D2385"/>
    <w:rsid w:val="003D712A"/>
    <w:rsid w:val="003D794D"/>
    <w:rsid w:val="003E3058"/>
    <w:rsid w:val="003E3CA3"/>
    <w:rsid w:val="003E6982"/>
    <w:rsid w:val="003E76A9"/>
    <w:rsid w:val="003F0809"/>
    <w:rsid w:val="003F6A8C"/>
    <w:rsid w:val="003F755C"/>
    <w:rsid w:val="00404A5B"/>
    <w:rsid w:val="00406F01"/>
    <w:rsid w:val="00416D50"/>
    <w:rsid w:val="00416FD5"/>
    <w:rsid w:val="00417772"/>
    <w:rsid w:val="00420E6A"/>
    <w:rsid w:val="00425A9E"/>
    <w:rsid w:val="0042605C"/>
    <w:rsid w:val="00426D6B"/>
    <w:rsid w:val="00431E6C"/>
    <w:rsid w:val="00433CE7"/>
    <w:rsid w:val="00452738"/>
    <w:rsid w:val="00456091"/>
    <w:rsid w:val="00466321"/>
    <w:rsid w:val="00484B9B"/>
    <w:rsid w:val="004855F6"/>
    <w:rsid w:val="0048661E"/>
    <w:rsid w:val="00494670"/>
    <w:rsid w:val="004A3823"/>
    <w:rsid w:val="004A716F"/>
    <w:rsid w:val="004A7694"/>
    <w:rsid w:val="004E6946"/>
    <w:rsid w:val="004F1AD8"/>
    <w:rsid w:val="004F3053"/>
    <w:rsid w:val="005039CB"/>
    <w:rsid w:val="0050558F"/>
    <w:rsid w:val="00506286"/>
    <w:rsid w:val="00506FC2"/>
    <w:rsid w:val="00510813"/>
    <w:rsid w:val="00511990"/>
    <w:rsid w:val="00511DE0"/>
    <w:rsid w:val="00514870"/>
    <w:rsid w:val="00514B9B"/>
    <w:rsid w:val="00517F02"/>
    <w:rsid w:val="00524303"/>
    <w:rsid w:val="005258A2"/>
    <w:rsid w:val="005401AE"/>
    <w:rsid w:val="00542E07"/>
    <w:rsid w:val="00545424"/>
    <w:rsid w:val="00547592"/>
    <w:rsid w:val="00554A7B"/>
    <w:rsid w:val="0055572C"/>
    <w:rsid w:val="0056106A"/>
    <w:rsid w:val="005720AE"/>
    <w:rsid w:val="00580C19"/>
    <w:rsid w:val="00591814"/>
    <w:rsid w:val="00594D77"/>
    <w:rsid w:val="005969E4"/>
    <w:rsid w:val="005A06B7"/>
    <w:rsid w:val="005A1759"/>
    <w:rsid w:val="005A68A7"/>
    <w:rsid w:val="005C23E5"/>
    <w:rsid w:val="005D36AB"/>
    <w:rsid w:val="005E405A"/>
    <w:rsid w:val="005F58D1"/>
    <w:rsid w:val="00600C5C"/>
    <w:rsid w:val="006022CA"/>
    <w:rsid w:val="00617CC3"/>
    <w:rsid w:val="0063515A"/>
    <w:rsid w:val="006377A6"/>
    <w:rsid w:val="00637A3D"/>
    <w:rsid w:val="006411EF"/>
    <w:rsid w:val="00657648"/>
    <w:rsid w:val="00670DDA"/>
    <w:rsid w:val="006748B8"/>
    <w:rsid w:val="006775C3"/>
    <w:rsid w:val="00691302"/>
    <w:rsid w:val="0069290A"/>
    <w:rsid w:val="00696C83"/>
    <w:rsid w:val="0069775A"/>
    <w:rsid w:val="00697813"/>
    <w:rsid w:val="006A1AC0"/>
    <w:rsid w:val="006A3EE8"/>
    <w:rsid w:val="006A5508"/>
    <w:rsid w:val="006A72BF"/>
    <w:rsid w:val="006B03F2"/>
    <w:rsid w:val="006B37DC"/>
    <w:rsid w:val="006B4F68"/>
    <w:rsid w:val="006C0592"/>
    <w:rsid w:val="006C272E"/>
    <w:rsid w:val="006C5479"/>
    <w:rsid w:val="006C5A71"/>
    <w:rsid w:val="006D13B5"/>
    <w:rsid w:val="006D4324"/>
    <w:rsid w:val="006E12FF"/>
    <w:rsid w:val="006E607E"/>
    <w:rsid w:val="00706C5D"/>
    <w:rsid w:val="00732922"/>
    <w:rsid w:val="007439DB"/>
    <w:rsid w:val="0075162E"/>
    <w:rsid w:val="00754034"/>
    <w:rsid w:val="00756556"/>
    <w:rsid w:val="0075752B"/>
    <w:rsid w:val="007618C4"/>
    <w:rsid w:val="007644D6"/>
    <w:rsid w:val="00767980"/>
    <w:rsid w:val="00770B19"/>
    <w:rsid w:val="0077463F"/>
    <w:rsid w:val="00775CFA"/>
    <w:rsid w:val="007836EA"/>
    <w:rsid w:val="00784CDA"/>
    <w:rsid w:val="00785338"/>
    <w:rsid w:val="00790441"/>
    <w:rsid w:val="007906C4"/>
    <w:rsid w:val="007940EA"/>
    <w:rsid w:val="007967E8"/>
    <w:rsid w:val="007A2170"/>
    <w:rsid w:val="007A22BF"/>
    <w:rsid w:val="007A3323"/>
    <w:rsid w:val="007B6904"/>
    <w:rsid w:val="007B72B8"/>
    <w:rsid w:val="007B7895"/>
    <w:rsid w:val="007B7A58"/>
    <w:rsid w:val="007C21B5"/>
    <w:rsid w:val="007D62F4"/>
    <w:rsid w:val="007E1FB9"/>
    <w:rsid w:val="007E4BD2"/>
    <w:rsid w:val="007F542E"/>
    <w:rsid w:val="007F5A0B"/>
    <w:rsid w:val="00801393"/>
    <w:rsid w:val="00802F88"/>
    <w:rsid w:val="0081293E"/>
    <w:rsid w:val="00815465"/>
    <w:rsid w:val="00817E9A"/>
    <w:rsid w:val="008306BD"/>
    <w:rsid w:val="00831A80"/>
    <w:rsid w:val="00833743"/>
    <w:rsid w:val="008340A4"/>
    <w:rsid w:val="008402DB"/>
    <w:rsid w:val="0087135F"/>
    <w:rsid w:val="00872D94"/>
    <w:rsid w:val="00880364"/>
    <w:rsid w:val="0088691F"/>
    <w:rsid w:val="00891592"/>
    <w:rsid w:val="00891E9E"/>
    <w:rsid w:val="008A2F68"/>
    <w:rsid w:val="008B4FA6"/>
    <w:rsid w:val="008B5282"/>
    <w:rsid w:val="008B7C17"/>
    <w:rsid w:val="008C2D01"/>
    <w:rsid w:val="008C40E6"/>
    <w:rsid w:val="008C4DD9"/>
    <w:rsid w:val="008D0F7A"/>
    <w:rsid w:val="008D1EFF"/>
    <w:rsid w:val="008D68E4"/>
    <w:rsid w:val="008E0506"/>
    <w:rsid w:val="008E0CFF"/>
    <w:rsid w:val="008E5D6B"/>
    <w:rsid w:val="008E76F0"/>
    <w:rsid w:val="008F15FE"/>
    <w:rsid w:val="008F2D29"/>
    <w:rsid w:val="008F5187"/>
    <w:rsid w:val="008F60D8"/>
    <w:rsid w:val="00901066"/>
    <w:rsid w:val="00902727"/>
    <w:rsid w:val="0090312B"/>
    <w:rsid w:val="0091736D"/>
    <w:rsid w:val="0093037A"/>
    <w:rsid w:val="0094154D"/>
    <w:rsid w:val="0095155F"/>
    <w:rsid w:val="00954429"/>
    <w:rsid w:val="009563CE"/>
    <w:rsid w:val="00976328"/>
    <w:rsid w:val="0097680D"/>
    <w:rsid w:val="00980214"/>
    <w:rsid w:val="00982438"/>
    <w:rsid w:val="00983DCB"/>
    <w:rsid w:val="0098404C"/>
    <w:rsid w:val="00985283"/>
    <w:rsid w:val="00993E36"/>
    <w:rsid w:val="00995992"/>
    <w:rsid w:val="009A03E5"/>
    <w:rsid w:val="009A0F3B"/>
    <w:rsid w:val="009A1BB4"/>
    <w:rsid w:val="009A2628"/>
    <w:rsid w:val="009A3200"/>
    <w:rsid w:val="009B0897"/>
    <w:rsid w:val="009B7BD9"/>
    <w:rsid w:val="009C7DD5"/>
    <w:rsid w:val="009E227D"/>
    <w:rsid w:val="009E5019"/>
    <w:rsid w:val="009E6D76"/>
    <w:rsid w:val="00A04976"/>
    <w:rsid w:val="00A04F1B"/>
    <w:rsid w:val="00A0501B"/>
    <w:rsid w:val="00A1108C"/>
    <w:rsid w:val="00A14947"/>
    <w:rsid w:val="00A32A83"/>
    <w:rsid w:val="00A368DB"/>
    <w:rsid w:val="00A423AA"/>
    <w:rsid w:val="00A50925"/>
    <w:rsid w:val="00A53EC6"/>
    <w:rsid w:val="00A55C0F"/>
    <w:rsid w:val="00A8713F"/>
    <w:rsid w:val="00A90BA1"/>
    <w:rsid w:val="00A929D0"/>
    <w:rsid w:val="00A97A9A"/>
    <w:rsid w:val="00AA0671"/>
    <w:rsid w:val="00AA2531"/>
    <w:rsid w:val="00AA742A"/>
    <w:rsid w:val="00AB1E09"/>
    <w:rsid w:val="00AB5330"/>
    <w:rsid w:val="00AB7747"/>
    <w:rsid w:val="00AC14CE"/>
    <w:rsid w:val="00AC2A56"/>
    <w:rsid w:val="00AC33A8"/>
    <w:rsid w:val="00AC571E"/>
    <w:rsid w:val="00AD055E"/>
    <w:rsid w:val="00AD2597"/>
    <w:rsid w:val="00AD47A7"/>
    <w:rsid w:val="00AF0057"/>
    <w:rsid w:val="00AF0CBF"/>
    <w:rsid w:val="00AF257F"/>
    <w:rsid w:val="00AF33CF"/>
    <w:rsid w:val="00AF4D50"/>
    <w:rsid w:val="00AF6179"/>
    <w:rsid w:val="00B0475A"/>
    <w:rsid w:val="00B10D3C"/>
    <w:rsid w:val="00B1295A"/>
    <w:rsid w:val="00B1785E"/>
    <w:rsid w:val="00B20A45"/>
    <w:rsid w:val="00B22C5C"/>
    <w:rsid w:val="00B24C7B"/>
    <w:rsid w:val="00B24F30"/>
    <w:rsid w:val="00B31ABF"/>
    <w:rsid w:val="00B33BE3"/>
    <w:rsid w:val="00B53B5D"/>
    <w:rsid w:val="00B6055E"/>
    <w:rsid w:val="00B6317D"/>
    <w:rsid w:val="00B712F6"/>
    <w:rsid w:val="00B771B1"/>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BF5408"/>
    <w:rsid w:val="00C10578"/>
    <w:rsid w:val="00C135BC"/>
    <w:rsid w:val="00C15C95"/>
    <w:rsid w:val="00C2596A"/>
    <w:rsid w:val="00C27537"/>
    <w:rsid w:val="00C328FE"/>
    <w:rsid w:val="00C33507"/>
    <w:rsid w:val="00C43709"/>
    <w:rsid w:val="00C4409D"/>
    <w:rsid w:val="00C44E72"/>
    <w:rsid w:val="00C45A06"/>
    <w:rsid w:val="00C47E5B"/>
    <w:rsid w:val="00C61E4B"/>
    <w:rsid w:val="00C64BFF"/>
    <w:rsid w:val="00C704E9"/>
    <w:rsid w:val="00C763C9"/>
    <w:rsid w:val="00C80057"/>
    <w:rsid w:val="00C82232"/>
    <w:rsid w:val="00C82913"/>
    <w:rsid w:val="00C970EA"/>
    <w:rsid w:val="00C972B1"/>
    <w:rsid w:val="00CA2CCE"/>
    <w:rsid w:val="00CA43FD"/>
    <w:rsid w:val="00CA7EF8"/>
    <w:rsid w:val="00CC33CC"/>
    <w:rsid w:val="00CC489B"/>
    <w:rsid w:val="00CD2BCD"/>
    <w:rsid w:val="00CD3A4C"/>
    <w:rsid w:val="00CE10E9"/>
    <w:rsid w:val="00CE2910"/>
    <w:rsid w:val="00CE5393"/>
    <w:rsid w:val="00CF36BE"/>
    <w:rsid w:val="00CF6000"/>
    <w:rsid w:val="00D003F3"/>
    <w:rsid w:val="00D0364F"/>
    <w:rsid w:val="00D06834"/>
    <w:rsid w:val="00D16450"/>
    <w:rsid w:val="00D23E2B"/>
    <w:rsid w:val="00D25D9B"/>
    <w:rsid w:val="00D308ED"/>
    <w:rsid w:val="00D3489C"/>
    <w:rsid w:val="00D35C16"/>
    <w:rsid w:val="00D36D86"/>
    <w:rsid w:val="00D428AA"/>
    <w:rsid w:val="00D50A34"/>
    <w:rsid w:val="00D53EFA"/>
    <w:rsid w:val="00D94A7C"/>
    <w:rsid w:val="00D95896"/>
    <w:rsid w:val="00DA0A97"/>
    <w:rsid w:val="00DA26DE"/>
    <w:rsid w:val="00DB2983"/>
    <w:rsid w:val="00DC1257"/>
    <w:rsid w:val="00DC3DC0"/>
    <w:rsid w:val="00DC5B2B"/>
    <w:rsid w:val="00DD040E"/>
    <w:rsid w:val="00DD0FB6"/>
    <w:rsid w:val="00DD318D"/>
    <w:rsid w:val="00DF2E12"/>
    <w:rsid w:val="00DF514A"/>
    <w:rsid w:val="00DF6690"/>
    <w:rsid w:val="00DF6804"/>
    <w:rsid w:val="00DF772F"/>
    <w:rsid w:val="00E0358D"/>
    <w:rsid w:val="00E04323"/>
    <w:rsid w:val="00E070A2"/>
    <w:rsid w:val="00E2656A"/>
    <w:rsid w:val="00E412D0"/>
    <w:rsid w:val="00E53165"/>
    <w:rsid w:val="00E56322"/>
    <w:rsid w:val="00E60982"/>
    <w:rsid w:val="00E62C62"/>
    <w:rsid w:val="00E645C2"/>
    <w:rsid w:val="00E654C1"/>
    <w:rsid w:val="00E65D97"/>
    <w:rsid w:val="00E72A5A"/>
    <w:rsid w:val="00E73354"/>
    <w:rsid w:val="00E75521"/>
    <w:rsid w:val="00E9242D"/>
    <w:rsid w:val="00EB5255"/>
    <w:rsid w:val="00EB5C47"/>
    <w:rsid w:val="00EC76B8"/>
    <w:rsid w:val="00ED0639"/>
    <w:rsid w:val="00EE364A"/>
    <w:rsid w:val="00EF4755"/>
    <w:rsid w:val="00EF7135"/>
    <w:rsid w:val="00F027DB"/>
    <w:rsid w:val="00F14A7A"/>
    <w:rsid w:val="00F227D1"/>
    <w:rsid w:val="00F22985"/>
    <w:rsid w:val="00F3383E"/>
    <w:rsid w:val="00F465A7"/>
    <w:rsid w:val="00F471C0"/>
    <w:rsid w:val="00F50B7C"/>
    <w:rsid w:val="00F550E6"/>
    <w:rsid w:val="00F74345"/>
    <w:rsid w:val="00F80A0A"/>
    <w:rsid w:val="00F82B19"/>
    <w:rsid w:val="00F90CAA"/>
    <w:rsid w:val="00F9212D"/>
    <w:rsid w:val="00F965DA"/>
    <w:rsid w:val="00FA406A"/>
    <w:rsid w:val="00FB503A"/>
    <w:rsid w:val="00FB516C"/>
    <w:rsid w:val="00FD0236"/>
    <w:rsid w:val="00FD18F4"/>
    <w:rsid w:val="00FD54DB"/>
    <w:rsid w:val="00FD619F"/>
    <w:rsid w:val="01252479"/>
    <w:rsid w:val="01262519"/>
    <w:rsid w:val="01290F7E"/>
    <w:rsid w:val="01372A17"/>
    <w:rsid w:val="014B02F4"/>
    <w:rsid w:val="015D1E09"/>
    <w:rsid w:val="017A102C"/>
    <w:rsid w:val="017F020B"/>
    <w:rsid w:val="01905F30"/>
    <w:rsid w:val="01912406"/>
    <w:rsid w:val="01935C9C"/>
    <w:rsid w:val="01AE0FE4"/>
    <w:rsid w:val="01B02EFB"/>
    <w:rsid w:val="01B61AFA"/>
    <w:rsid w:val="01B8577F"/>
    <w:rsid w:val="01C71B7F"/>
    <w:rsid w:val="01CA7F71"/>
    <w:rsid w:val="01EA4962"/>
    <w:rsid w:val="01EE220C"/>
    <w:rsid w:val="01F95E0D"/>
    <w:rsid w:val="01FE1512"/>
    <w:rsid w:val="020B6E18"/>
    <w:rsid w:val="021529D7"/>
    <w:rsid w:val="02250313"/>
    <w:rsid w:val="0242002A"/>
    <w:rsid w:val="02453BA0"/>
    <w:rsid w:val="024B3814"/>
    <w:rsid w:val="024E558E"/>
    <w:rsid w:val="025B276D"/>
    <w:rsid w:val="025F5EA3"/>
    <w:rsid w:val="02633AA2"/>
    <w:rsid w:val="02697903"/>
    <w:rsid w:val="026B2F1D"/>
    <w:rsid w:val="028422EF"/>
    <w:rsid w:val="028D57AA"/>
    <w:rsid w:val="029427B3"/>
    <w:rsid w:val="029A2B73"/>
    <w:rsid w:val="02A55490"/>
    <w:rsid w:val="02A57670"/>
    <w:rsid w:val="02BA2F25"/>
    <w:rsid w:val="02D64281"/>
    <w:rsid w:val="02F96569"/>
    <w:rsid w:val="03163D30"/>
    <w:rsid w:val="03174001"/>
    <w:rsid w:val="031E2C9C"/>
    <w:rsid w:val="03210951"/>
    <w:rsid w:val="03264A6F"/>
    <w:rsid w:val="032B26F3"/>
    <w:rsid w:val="032B40C2"/>
    <w:rsid w:val="03343FA8"/>
    <w:rsid w:val="03387677"/>
    <w:rsid w:val="033F2688"/>
    <w:rsid w:val="033F32EB"/>
    <w:rsid w:val="03410AB9"/>
    <w:rsid w:val="036C4932"/>
    <w:rsid w:val="03834613"/>
    <w:rsid w:val="03865218"/>
    <w:rsid w:val="038A6DB8"/>
    <w:rsid w:val="03906470"/>
    <w:rsid w:val="03923056"/>
    <w:rsid w:val="0394554A"/>
    <w:rsid w:val="0399470B"/>
    <w:rsid w:val="03A76DC0"/>
    <w:rsid w:val="03B86D70"/>
    <w:rsid w:val="03BB6BDD"/>
    <w:rsid w:val="03BE4940"/>
    <w:rsid w:val="03CF05CF"/>
    <w:rsid w:val="03D1690A"/>
    <w:rsid w:val="03EA7B21"/>
    <w:rsid w:val="040C4517"/>
    <w:rsid w:val="040E0B63"/>
    <w:rsid w:val="043041FE"/>
    <w:rsid w:val="043106F4"/>
    <w:rsid w:val="044828EA"/>
    <w:rsid w:val="044D19C3"/>
    <w:rsid w:val="0453700A"/>
    <w:rsid w:val="04542E09"/>
    <w:rsid w:val="045C5448"/>
    <w:rsid w:val="048B402D"/>
    <w:rsid w:val="04A907BC"/>
    <w:rsid w:val="04BE07A3"/>
    <w:rsid w:val="04DB0B57"/>
    <w:rsid w:val="0501225E"/>
    <w:rsid w:val="05017A44"/>
    <w:rsid w:val="05312CC6"/>
    <w:rsid w:val="05401011"/>
    <w:rsid w:val="054A7290"/>
    <w:rsid w:val="054C52AE"/>
    <w:rsid w:val="05570CE9"/>
    <w:rsid w:val="055E68BF"/>
    <w:rsid w:val="05640F43"/>
    <w:rsid w:val="05830D8E"/>
    <w:rsid w:val="05A61B55"/>
    <w:rsid w:val="05A85179"/>
    <w:rsid w:val="05B2075C"/>
    <w:rsid w:val="05D60C14"/>
    <w:rsid w:val="05EA5170"/>
    <w:rsid w:val="05EE3ED7"/>
    <w:rsid w:val="05F04BB2"/>
    <w:rsid w:val="05F810E4"/>
    <w:rsid w:val="05F83EAE"/>
    <w:rsid w:val="06031032"/>
    <w:rsid w:val="062F4971"/>
    <w:rsid w:val="063E7D85"/>
    <w:rsid w:val="0650591D"/>
    <w:rsid w:val="0662187E"/>
    <w:rsid w:val="067A512B"/>
    <w:rsid w:val="069103F4"/>
    <w:rsid w:val="069174FF"/>
    <w:rsid w:val="06A179C8"/>
    <w:rsid w:val="06A556F3"/>
    <w:rsid w:val="06A64477"/>
    <w:rsid w:val="06B514FF"/>
    <w:rsid w:val="06BE1B7A"/>
    <w:rsid w:val="06C00960"/>
    <w:rsid w:val="06FB1335"/>
    <w:rsid w:val="06FC7803"/>
    <w:rsid w:val="07010F62"/>
    <w:rsid w:val="07093C64"/>
    <w:rsid w:val="070F4394"/>
    <w:rsid w:val="07151397"/>
    <w:rsid w:val="0723487E"/>
    <w:rsid w:val="0726121D"/>
    <w:rsid w:val="07293586"/>
    <w:rsid w:val="07295285"/>
    <w:rsid w:val="073802B1"/>
    <w:rsid w:val="074B5B12"/>
    <w:rsid w:val="074F42AE"/>
    <w:rsid w:val="07532F6E"/>
    <w:rsid w:val="07636392"/>
    <w:rsid w:val="076F3EFF"/>
    <w:rsid w:val="0775799D"/>
    <w:rsid w:val="07770C56"/>
    <w:rsid w:val="07783A5F"/>
    <w:rsid w:val="077A1452"/>
    <w:rsid w:val="079B047D"/>
    <w:rsid w:val="079F098E"/>
    <w:rsid w:val="07AF0183"/>
    <w:rsid w:val="07B90332"/>
    <w:rsid w:val="07BB5E0E"/>
    <w:rsid w:val="07C86654"/>
    <w:rsid w:val="07CF54CD"/>
    <w:rsid w:val="08081681"/>
    <w:rsid w:val="081D67B6"/>
    <w:rsid w:val="08287D59"/>
    <w:rsid w:val="083C72FF"/>
    <w:rsid w:val="08425B20"/>
    <w:rsid w:val="085506BB"/>
    <w:rsid w:val="0857050D"/>
    <w:rsid w:val="085C79C9"/>
    <w:rsid w:val="08656071"/>
    <w:rsid w:val="086A2AF8"/>
    <w:rsid w:val="08734C06"/>
    <w:rsid w:val="0877354D"/>
    <w:rsid w:val="088234A9"/>
    <w:rsid w:val="088A3632"/>
    <w:rsid w:val="08912080"/>
    <w:rsid w:val="08B547A7"/>
    <w:rsid w:val="08B7577D"/>
    <w:rsid w:val="08B97AAD"/>
    <w:rsid w:val="08E078FD"/>
    <w:rsid w:val="08E6594E"/>
    <w:rsid w:val="08FE1931"/>
    <w:rsid w:val="091271D8"/>
    <w:rsid w:val="092217DD"/>
    <w:rsid w:val="09281AB0"/>
    <w:rsid w:val="092A4544"/>
    <w:rsid w:val="093A7294"/>
    <w:rsid w:val="09413799"/>
    <w:rsid w:val="094E2CB6"/>
    <w:rsid w:val="095E2FB4"/>
    <w:rsid w:val="096809BC"/>
    <w:rsid w:val="097F61E9"/>
    <w:rsid w:val="09850184"/>
    <w:rsid w:val="09A95234"/>
    <w:rsid w:val="09C9280F"/>
    <w:rsid w:val="09E17EB3"/>
    <w:rsid w:val="09EB3C17"/>
    <w:rsid w:val="09F108F5"/>
    <w:rsid w:val="0A0232D0"/>
    <w:rsid w:val="0A0C192E"/>
    <w:rsid w:val="0A263993"/>
    <w:rsid w:val="0A2D3AC2"/>
    <w:rsid w:val="0A413B51"/>
    <w:rsid w:val="0A4A7C65"/>
    <w:rsid w:val="0A6C509F"/>
    <w:rsid w:val="0A817ED1"/>
    <w:rsid w:val="0A835C1C"/>
    <w:rsid w:val="0A91345F"/>
    <w:rsid w:val="0A9A76BC"/>
    <w:rsid w:val="0A9C59E2"/>
    <w:rsid w:val="0AA755DF"/>
    <w:rsid w:val="0AB21FCF"/>
    <w:rsid w:val="0AC86BA6"/>
    <w:rsid w:val="0AD32E19"/>
    <w:rsid w:val="0AE300E2"/>
    <w:rsid w:val="0AEB7545"/>
    <w:rsid w:val="0B083A97"/>
    <w:rsid w:val="0B0D19AD"/>
    <w:rsid w:val="0B120D44"/>
    <w:rsid w:val="0B1A1858"/>
    <w:rsid w:val="0B1B5502"/>
    <w:rsid w:val="0B213324"/>
    <w:rsid w:val="0B222485"/>
    <w:rsid w:val="0B270CA4"/>
    <w:rsid w:val="0B2B5473"/>
    <w:rsid w:val="0B361421"/>
    <w:rsid w:val="0B46041B"/>
    <w:rsid w:val="0B4D3135"/>
    <w:rsid w:val="0B577F95"/>
    <w:rsid w:val="0B5D5274"/>
    <w:rsid w:val="0B6C636C"/>
    <w:rsid w:val="0B705CCC"/>
    <w:rsid w:val="0B744B57"/>
    <w:rsid w:val="0B7E22A6"/>
    <w:rsid w:val="0B99085E"/>
    <w:rsid w:val="0BBD3E45"/>
    <w:rsid w:val="0BC46516"/>
    <w:rsid w:val="0BC57CEB"/>
    <w:rsid w:val="0BD27BF6"/>
    <w:rsid w:val="0BDE1B46"/>
    <w:rsid w:val="0BDE4ABF"/>
    <w:rsid w:val="0BF54DC5"/>
    <w:rsid w:val="0C051BE3"/>
    <w:rsid w:val="0C28596B"/>
    <w:rsid w:val="0C356B8A"/>
    <w:rsid w:val="0C3B3C7D"/>
    <w:rsid w:val="0C3D6D90"/>
    <w:rsid w:val="0C5104B3"/>
    <w:rsid w:val="0C5A3C0A"/>
    <w:rsid w:val="0C69063B"/>
    <w:rsid w:val="0C6A31BA"/>
    <w:rsid w:val="0CA534E8"/>
    <w:rsid w:val="0CAB2EAE"/>
    <w:rsid w:val="0CB554A0"/>
    <w:rsid w:val="0CBC40C3"/>
    <w:rsid w:val="0CBE7B73"/>
    <w:rsid w:val="0CBF103B"/>
    <w:rsid w:val="0CCC6995"/>
    <w:rsid w:val="0CCF4771"/>
    <w:rsid w:val="0CD80ECD"/>
    <w:rsid w:val="0CDF2B62"/>
    <w:rsid w:val="0CE2518A"/>
    <w:rsid w:val="0D06506C"/>
    <w:rsid w:val="0D076834"/>
    <w:rsid w:val="0D0A5A91"/>
    <w:rsid w:val="0D0A75A3"/>
    <w:rsid w:val="0D0E63E2"/>
    <w:rsid w:val="0D1046F2"/>
    <w:rsid w:val="0D1707F2"/>
    <w:rsid w:val="0D225279"/>
    <w:rsid w:val="0D2C764B"/>
    <w:rsid w:val="0D4E742F"/>
    <w:rsid w:val="0D621C7D"/>
    <w:rsid w:val="0D692111"/>
    <w:rsid w:val="0D7E19D1"/>
    <w:rsid w:val="0D8C6931"/>
    <w:rsid w:val="0D947AA6"/>
    <w:rsid w:val="0DA909BA"/>
    <w:rsid w:val="0DA92DAD"/>
    <w:rsid w:val="0DB03EBA"/>
    <w:rsid w:val="0DB930CA"/>
    <w:rsid w:val="0DBB397D"/>
    <w:rsid w:val="0DC03501"/>
    <w:rsid w:val="0DC73AD9"/>
    <w:rsid w:val="0DCA2995"/>
    <w:rsid w:val="0DCB7F7A"/>
    <w:rsid w:val="0DE47AEF"/>
    <w:rsid w:val="0E077AB8"/>
    <w:rsid w:val="0E0B1A20"/>
    <w:rsid w:val="0E1D1BB7"/>
    <w:rsid w:val="0E2A58DB"/>
    <w:rsid w:val="0E485933"/>
    <w:rsid w:val="0E521E2D"/>
    <w:rsid w:val="0E630841"/>
    <w:rsid w:val="0E673C24"/>
    <w:rsid w:val="0E6B68D7"/>
    <w:rsid w:val="0E73034D"/>
    <w:rsid w:val="0E87692F"/>
    <w:rsid w:val="0E920C3D"/>
    <w:rsid w:val="0EBD374E"/>
    <w:rsid w:val="0EC56701"/>
    <w:rsid w:val="0ECE51CA"/>
    <w:rsid w:val="0EE715AB"/>
    <w:rsid w:val="0EEC6F75"/>
    <w:rsid w:val="0EFE207B"/>
    <w:rsid w:val="0F113FD7"/>
    <w:rsid w:val="0F13775A"/>
    <w:rsid w:val="0F3226A3"/>
    <w:rsid w:val="0F496DDA"/>
    <w:rsid w:val="0F4F734A"/>
    <w:rsid w:val="0F5F45FE"/>
    <w:rsid w:val="0F6E697D"/>
    <w:rsid w:val="0F76080A"/>
    <w:rsid w:val="0F7958C9"/>
    <w:rsid w:val="0F7B275C"/>
    <w:rsid w:val="0F9A112B"/>
    <w:rsid w:val="0F9F46ED"/>
    <w:rsid w:val="0FA359C6"/>
    <w:rsid w:val="0FA61770"/>
    <w:rsid w:val="0FB02D7E"/>
    <w:rsid w:val="0FE67291"/>
    <w:rsid w:val="103358F9"/>
    <w:rsid w:val="10366FBE"/>
    <w:rsid w:val="103E768C"/>
    <w:rsid w:val="10425A00"/>
    <w:rsid w:val="10465303"/>
    <w:rsid w:val="104A4A7F"/>
    <w:rsid w:val="10506E1A"/>
    <w:rsid w:val="10657749"/>
    <w:rsid w:val="106D2F64"/>
    <w:rsid w:val="106F1E25"/>
    <w:rsid w:val="10706A55"/>
    <w:rsid w:val="10754AFC"/>
    <w:rsid w:val="1078115D"/>
    <w:rsid w:val="10930F7C"/>
    <w:rsid w:val="10943C5F"/>
    <w:rsid w:val="10AB406B"/>
    <w:rsid w:val="10B06D0C"/>
    <w:rsid w:val="10B44A0A"/>
    <w:rsid w:val="10B63710"/>
    <w:rsid w:val="10C66FC1"/>
    <w:rsid w:val="10F10820"/>
    <w:rsid w:val="10FA5990"/>
    <w:rsid w:val="10FE68B1"/>
    <w:rsid w:val="110A5FB5"/>
    <w:rsid w:val="111C2F7A"/>
    <w:rsid w:val="11227C1B"/>
    <w:rsid w:val="1127454E"/>
    <w:rsid w:val="11485A4A"/>
    <w:rsid w:val="11494987"/>
    <w:rsid w:val="1165476C"/>
    <w:rsid w:val="11665CA1"/>
    <w:rsid w:val="118516BB"/>
    <w:rsid w:val="118B2EDC"/>
    <w:rsid w:val="11924E59"/>
    <w:rsid w:val="11A00BD7"/>
    <w:rsid w:val="11A868D7"/>
    <w:rsid w:val="11BD1C22"/>
    <w:rsid w:val="11C63EAF"/>
    <w:rsid w:val="11C66DEC"/>
    <w:rsid w:val="11CC6767"/>
    <w:rsid w:val="11D87F6C"/>
    <w:rsid w:val="11DC66AC"/>
    <w:rsid w:val="11F26DAE"/>
    <w:rsid w:val="11F84F17"/>
    <w:rsid w:val="1208013E"/>
    <w:rsid w:val="120C5E18"/>
    <w:rsid w:val="121F7C9A"/>
    <w:rsid w:val="12301C31"/>
    <w:rsid w:val="12483132"/>
    <w:rsid w:val="124D353B"/>
    <w:rsid w:val="125656C9"/>
    <w:rsid w:val="12590FAC"/>
    <w:rsid w:val="125D457F"/>
    <w:rsid w:val="12612FE8"/>
    <w:rsid w:val="126B66D9"/>
    <w:rsid w:val="1273200C"/>
    <w:rsid w:val="12756D10"/>
    <w:rsid w:val="127B7100"/>
    <w:rsid w:val="12897938"/>
    <w:rsid w:val="129C1C98"/>
    <w:rsid w:val="12A43CEE"/>
    <w:rsid w:val="12A97270"/>
    <w:rsid w:val="12AE5475"/>
    <w:rsid w:val="12B50381"/>
    <w:rsid w:val="12B64C6D"/>
    <w:rsid w:val="12CE305C"/>
    <w:rsid w:val="12D71358"/>
    <w:rsid w:val="12DD19E5"/>
    <w:rsid w:val="12DE49B6"/>
    <w:rsid w:val="12E4491E"/>
    <w:rsid w:val="12ED382B"/>
    <w:rsid w:val="12F34118"/>
    <w:rsid w:val="12F906FF"/>
    <w:rsid w:val="13166C31"/>
    <w:rsid w:val="13260C50"/>
    <w:rsid w:val="13342CE5"/>
    <w:rsid w:val="133A45A0"/>
    <w:rsid w:val="13425223"/>
    <w:rsid w:val="134C49B5"/>
    <w:rsid w:val="135827F2"/>
    <w:rsid w:val="13742A24"/>
    <w:rsid w:val="138D5563"/>
    <w:rsid w:val="13943A73"/>
    <w:rsid w:val="13951726"/>
    <w:rsid w:val="139B6EB0"/>
    <w:rsid w:val="13AA7F1C"/>
    <w:rsid w:val="13B84A6C"/>
    <w:rsid w:val="13CA09B9"/>
    <w:rsid w:val="13D7587C"/>
    <w:rsid w:val="13E66C75"/>
    <w:rsid w:val="13EC41A2"/>
    <w:rsid w:val="140164C9"/>
    <w:rsid w:val="14143FEA"/>
    <w:rsid w:val="141C1B00"/>
    <w:rsid w:val="143854FA"/>
    <w:rsid w:val="14396509"/>
    <w:rsid w:val="144A24F7"/>
    <w:rsid w:val="14685B20"/>
    <w:rsid w:val="1468713A"/>
    <w:rsid w:val="146D10A7"/>
    <w:rsid w:val="146E28C8"/>
    <w:rsid w:val="14787192"/>
    <w:rsid w:val="14856B88"/>
    <w:rsid w:val="14897A00"/>
    <w:rsid w:val="14910CC2"/>
    <w:rsid w:val="149B4E21"/>
    <w:rsid w:val="149E37A7"/>
    <w:rsid w:val="14A01EA8"/>
    <w:rsid w:val="14A311A8"/>
    <w:rsid w:val="14A84792"/>
    <w:rsid w:val="14AC333C"/>
    <w:rsid w:val="14C2143A"/>
    <w:rsid w:val="14C272E3"/>
    <w:rsid w:val="14C853BF"/>
    <w:rsid w:val="14CA29E0"/>
    <w:rsid w:val="14CD6402"/>
    <w:rsid w:val="14D61B2D"/>
    <w:rsid w:val="14D81AC8"/>
    <w:rsid w:val="14DD2C3C"/>
    <w:rsid w:val="14E95EEF"/>
    <w:rsid w:val="14F6411A"/>
    <w:rsid w:val="150D4DB3"/>
    <w:rsid w:val="152276C6"/>
    <w:rsid w:val="153C19E6"/>
    <w:rsid w:val="153F1CFA"/>
    <w:rsid w:val="15651038"/>
    <w:rsid w:val="15730E8A"/>
    <w:rsid w:val="158C6EBC"/>
    <w:rsid w:val="15964EC2"/>
    <w:rsid w:val="1597259E"/>
    <w:rsid w:val="15973933"/>
    <w:rsid w:val="15C973EF"/>
    <w:rsid w:val="15D506E9"/>
    <w:rsid w:val="15FA037E"/>
    <w:rsid w:val="15FA7AA9"/>
    <w:rsid w:val="1604352A"/>
    <w:rsid w:val="16087E1D"/>
    <w:rsid w:val="161D0969"/>
    <w:rsid w:val="163210CC"/>
    <w:rsid w:val="16353E6B"/>
    <w:rsid w:val="16382F37"/>
    <w:rsid w:val="1642444E"/>
    <w:rsid w:val="16426C51"/>
    <w:rsid w:val="164324C0"/>
    <w:rsid w:val="16434398"/>
    <w:rsid w:val="16436935"/>
    <w:rsid w:val="164D1E1C"/>
    <w:rsid w:val="16632A8B"/>
    <w:rsid w:val="166D67D6"/>
    <w:rsid w:val="16720071"/>
    <w:rsid w:val="169016A0"/>
    <w:rsid w:val="16A65901"/>
    <w:rsid w:val="16A93542"/>
    <w:rsid w:val="16BB3041"/>
    <w:rsid w:val="16C10A27"/>
    <w:rsid w:val="16D42AC4"/>
    <w:rsid w:val="16E33AD9"/>
    <w:rsid w:val="17013BC9"/>
    <w:rsid w:val="17067D09"/>
    <w:rsid w:val="171564BC"/>
    <w:rsid w:val="172C18B6"/>
    <w:rsid w:val="173456E6"/>
    <w:rsid w:val="176A6183"/>
    <w:rsid w:val="17701D14"/>
    <w:rsid w:val="177265AE"/>
    <w:rsid w:val="17735226"/>
    <w:rsid w:val="17785E89"/>
    <w:rsid w:val="17790457"/>
    <w:rsid w:val="177A1E1A"/>
    <w:rsid w:val="17817E26"/>
    <w:rsid w:val="1795092C"/>
    <w:rsid w:val="17A3645C"/>
    <w:rsid w:val="17D074C4"/>
    <w:rsid w:val="17D14566"/>
    <w:rsid w:val="17D7364A"/>
    <w:rsid w:val="17E628BC"/>
    <w:rsid w:val="17F5554C"/>
    <w:rsid w:val="17F92F4D"/>
    <w:rsid w:val="17FE26A4"/>
    <w:rsid w:val="18024A7A"/>
    <w:rsid w:val="18093EB4"/>
    <w:rsid w:val="181F436B"/>
    <w:rsid w:val="1820334A"/>
    <w:rsid w:val="18204545"/>
    <w:rsid w:val="18287C6D"/>
    <w:rsid w:val="186058B3"/>
    <w:rsid w:val="186D4347"/>
    <w:rsid w:val="18794FCC"/>
    <w:rsid w:val="188067B1"/>
    <w:rsid w:val="188E359C"/>
    <w:rsid w:val="1898736E"/>
    <w:rsid w:val="189C0D7E"/>
    <w:rsid w:val="189E5787"/>
    <w:rsid w:val="189F624C"/>
    <w:rsid w:val="18A0097D"/>
    <w:rsid w:val="18A17558"/>
    <w:rsid w:val="18A246F2"/>
    <w:rsid w:val="18C054E3"/>
    <w:rsid w:val="18C46DA1"/>
    <w:rsid w:val="18D1130B"/>
    <w:rsid w:val="18D46F67"/>
    <w:rsid w:val="18D8595F"/>
    <w:rsid w:val="18DD1C89"/>
    <w:rsid w:val="18E72990"/>
    <w:rsid w:val="18F10221"/>
    <w:rsid w:val="190923F7"/>
    <w:rsid w:val="19253083"/>
    <w:rsid w:val="1931674C"/>
    <w:rsid w:val="193307C2"/>
    <w:rsid w:val="193A2B38"/>
    <w:rsid w:val="193B0C3E"/>
    <w:rsid w:val="193D66E5"/>
    <w:rsid w:val="19400910"/>
    <w:rsid w:val="19481E9B"/>
    <w:rsid w:val="19546759"/>
    <w:rsid w:val="19564A35"/>
    <w:rsid w:val="19633EDD"/>
    <w:rsid w:val="1966285F"/>
    <w:rsid w:val="19726438"/>
    <w:rsid w:val="19A91C19"/>
    <w:rsid w:val="19B706CA"/>
    <w:rsid w:val="19DA16E4"/>
    <w:rsid w:val="19E37D04"/>
    <w:rsid w:val="19F242EC"/>
    <w:rsid w:val="19F461CC"/>
    <w:rsid w:val="1A025C4E"/>
    <w:rsid w:val="1A1C66C0"/>
    <w:rsid w:val="1A272B14"/>
    <w:rsid w:val="1A2A7DFF"/>
    <w:rsid w:val="1A397A88"/>
    <w:rsid w:val="1A42393B"/>
    <w:rsid w:val="1A437FCE"/>
    <w:rsid w:val="1A45196C"/>
    <w:rsid w:val="1A4D2FE5"/>
    <w:rsid w:val="1A5C5592"/>
    <w:rsid w:val="1A602DD9"/>
    <w:rsid w:val="1A682365"/>
    <w:rsid w:val="1A825A08"/>
    <w:rsid w:val="1A95051D"/>
    <w:rsid w:val="1AAD45DE"/>
    <w:rsid w:val="1AAE0953"/>
    <w:rsid w:val="1AAF6361"/>
    <w:rsid w:val="1AC14904"/>
    <w:rsid w:val="1AC94AEB"/>
    <w:rsid w:val="1AD9448E"/>
    <w:rsid w:val="1AEA0AF9"/>
    <w:rsid w:val="1AF5392E"/>
    <w:rsid w:val="1AF75C5A"/>
    <w:rsid w:val="1AF87A2A"/>
    <w:rsid w:val="1B0045EF"/>
    <w:rsid w:val="1B0227C2"/>
    <w:rsid w:val="1B046F80"/>
    <w:rsid w:val="1B0E6D27"/>
    <w:rsid w:val="1B3267B5"/>
    <w:rsid w:val="1B40161D"/>
    <w:rsid w:val="1B441859"/>
    <w:rsid w:val="1B6606B1"/>
    <w:rsid w:val="1B665A79"/>
    <w:rsid w:val="1B675920"/>
    <w:rsid w:val="1B7D04FD"/>
    <w:rsid w:val="1B8A6EAF"/>
    <w:rsid w:val="1B911ACB"/>
    <w:rsid w:val="1B92467A"/>
    <w:rsid w:val="1BAC05FD"/>
    <w:rsid w:val="1BB568E9"/>
    <w:rsid w:val="1BBA15BF"/>
    <w:rsid w:val="1BE676CA"/>
    <w:rsid w:val="1BEE258B"/>
    <w:rsid w:val="1C043521"/>
    <w:rsid w:val="1C0603F2"/>
    <w:rsid w:val="1C0A120F"/>
    <w:rsid w:val="1C1836DF"/>
    <w:rsid w:val="1C192D38"/>
    <w:rsid w:val="1C287930"/>
    <w:rsid w:val="1C2A78B7"/>
    <w:rsid w:val="1C3F3268"/>
    <w:rsid w:val="1C4012D5"/>
    <w:rsid w:val="1C58136D"/>
    <w:rsid w:val="1C5E7925"/>
    <w:rsid w:val="1C64083E"/>
    <w:rsid w:val="1C6F2B19"/>
    <w:rsid w:val="1C776795"/>
    <w:rsid w:val="1C7C4873"/>
    <w:rsid w:val="1C9D3B26"/>
    <w:rsid w:val="1C9F6FA3"/>
    <w:rsid w:val="1CA0186D"/>
    <w:rsid w:val="1CAC14E3"/>
    <w:rsid w:val="1CB23094"/>
    <w:rsid w:val="1CB31D02"/>
    <w:rsid w:val="1CB86A55"/>
    <w:rsid w:val="1CCB2F50"/>
    <w:rsid w:val="1CD1205D"/>
    <w:rsid w:val="1CD46744"/>
    <w:rsid w:val="1CD71177"/>
    <w:rsid w:val="1CE73590"/>
    <w:rsid w:val="1CFD070F"/>
    <w:rsid w:val="1D06511B"/>
    <w:rsid w:val="1D0E0CC3"/>
    <w:rsid w:val="1D28157A"/>
    <w:rsid w:val="1D3C7695"/>
    <w:rsid w:val="1D3D3814"/>
    <w:rsid w:val="1D4906A5"/>
    <w:rsid w:val="1D530EB7"/>
    <w:rsid w:val="1D5E585A"/>
    <w:rsid w:val="1D5F6196"/>
    <w:rsid w:val="1D6132A5"/>
    <w:rsid w:val="1D7E312C"/>
    <w:rsid w:val="1D7F5E18"/>
    <w:rsid w:val="1D8537F4"/>
    <w:rsid w:val="1D8E56D5"/>
    <w:rsid w:val="1D8F3E6D"/>
    <w:rsid w:val="1D981BD2"/>
    <w:rsid w:val="1D995EA6"/>
    <w:rsid w:val="1D9A0244"/>
    <w:rsid w:val="1DAC1934"/>
    <w:rsid w:val="1DCF298B"/>
    <w:rsid w:val="1DD36A28"/>
    <w:rsid w:val="1DE47361"/>
    <w:rsid w:val="1DEB2918"/>
    <w:rsid w:val="1E0513E6"/>
    <w:rsid w:val="1E07510B"/>
    <w:rsid w:val="1E1B106A"/>
    <w:rsid w:val="1E411860"/>
    <w:rsid w:val="1E482373"/>
    <w:rsid w:val="1E4856F7"/>
    <w:rsid w:val="1E4E6FA4"/>
    <w:rsid w:val="1E6448E6"/>
    <w:rsid w:val="1E6C71FC"/>
    <w:rsid w:val="1E6E1451"/>
    <w:rsid w:val="1E751C90"/>
    <w:rsid w:val="1E7A43DA"/>
    <w:rsid w:val="1E821AD7"/>
    <w:rsid w:val="1E8331AB"/>
    <w:rsid w:val="1EB52B25"/>
    <w:rsid w:val="1EB73AB8"/>
    <w:rsid w:val="1EC11F4C"/>
    <w:rsid w:val="1EC5202D"/>
    <w:rsid w:val="1EC56286"/>
    <w:rsid w:val="1EE0664C"/>
    <w:rsid w:val="1EF07374"/>
    <w:rsid w:val="1EF113DB"/>
    <w:rsid w:val="1EFD3A37"/>
    <w:rsid w:val="1F002E37"/>
    <w:rsid w:val="1F100BFF"/>
    <w:rsid w:val="1F2037AC"/>
    <w:rsid w:val="1F4906FF"/>
    <w:rsid w:val="1F497AE1"/>
    <w:rsid w:val="1F4F75AF"/>
    <w:rsid w:val="1F804EAA"/>
    <w:rsid w:val="1F933110"/>
    <w:rsid w:val="1FAF1806"/>
    <w:rsid w:val="1FB3185E"/>
    <w:rsid w:val="1FBA374C"/>
    <w:rsid w:val="1FBB6403"/>
    <w:rsid w:val="1FD7162F"/>
    <w:rsid w:val="1FE7539E"/>
    <w:rsid w:val="1FF06301"/>
    <w:rsid w:val="1FF4372C"/>
    <w:rsid w:val="200D03D4"/>
    <w:rsid w:val="20107EA3"/>
    <w:rsid w:val="201325FC"/>
    <w:rsid w:val="202408C1"/>
    <w:rsid w:val="20327B9A"/>
    <w:rsid w:val="203968F2"/>
    <w:rsid w:val="203A190F"/>
    <w:rsid w:val="20417330"/>
    <w:rsid w:val="20451302"/>
    <w:rsid w:val="204A00A8"/>
    <w:rsid w:val="204F2DB3"/>
    <w:rsid w:val="20544F9C"/>
    <w:rsid w:val="20573C88"/>
    <w:rsid w:val="205D4321"/>
    <w:rsid w:val="20671BE0"/>
    <w:rsid w:val="206A2A36"/>
    <w:rsid w:val="20842EDA"/>
    <w:rsid w:val="20963CB8"/>
    <w:rsid w:val="20A078B7"/>
    <w:rsid w:val="20A81A1B"/>
    <w:rsid w:val="20AC48E6"/>
    <w:rsid w:val="20B07FB6"/>
    <w:rsid w:val="20B646FB"/>
    <w:rsid w:val="20B872CD"/>
    <w:rsid w:val="20C0784F"/>
    <w:rsid w:val="20E04282"/>
    <w:rsid w:val="20E72BDB"/>
    <w:rsid w:val="21283281"/>
    <w:rsid w:val="21332C9F"/>
    <w:rsid w:val="213B74B1"/>
    <w:rsid w:val="213E5F00"/>
    <w:rsid w:val="21486359"/>
    <w:rsid w:val="214A1DA0"/>
    <w:rsid w:val="214A7847"/>
    <w:rsid w:val="21501BA7"/>
    <w:rsid w:val="215A2310"/>
    <w:rsid w:val="21665CF6"/>
    <w:rsid w:val="21696EDD"/>
    <w:rsid w:val="21726D9C"/>
    <w:rsid w:val="21754D41"/>
    <w:rsid w:val="217B76BA"/>
    <w:rsid w:val="217B7FEA"/>
    <w:rsid w:val="2180431E"/>
    <w:rsid w:val="21853F18"/>
    <w:rsid w:val="2186363A"/>
    <w:rsid w:val="218C2DDF"/>
    <w:rsid w:val="219F0B62"/>
    <w:rsid w:val="219F120F"/>
    <w:rsid w:val="21A556D0"/>
    <w:rsid w:val="21A85B14"/>
    <w:rsid w:val="21BA64B3"/>
    <w:rsid w:val="21C202DB"/>
    <w:rsid w:val="21C20742"/>
    <w:rsid w:val="21C237B3"/>
    <w:rsid w:val="21C96B4D"/>
    <w:rsid w:val="21D17414"/>
    <w:rsid w:val="21D2177E"/>
    <w:rsid w:val="21DE318A"/>
    <w:rsid w:val="21E612E0"/>
    <w:rsid w:val="21EF5B80"/>
    <w:rsid w:val="22013AD7"/>
    <w:rsid w:val="2204321D"/>
    <w:rsid w:val="22154144"/>
    <w:rsid w:val="2217464B"/>
    <w:rsid w:val="22203F36"/>
    <w:rsid w:val="22204B82"/>
    <w:rsid w:val="2230477B"/>
    <w:rsid w:val="22432B79"/>
    <w:rsid w:val="224658FE"/>
    <w:rsid w:val="22576990"/>
    <w:rsid w:val="225D49C9"/>
    <w:rsid w:val="226F4B39"/>
    <w:rsid w:val="22751087"/>
    <w:rsid w:val="22765CCE"/>
    <w:rsid w:val="22862D90"/>
    <w:rsid w:val="22927E09"/>
    <w:rsid w:val="22944EF5"/>
    <w:rsid w:val="22B3175B"/>
    <w:rsid w:val="22BE569E"/>
    <w:rsid w:val="22C7370F"/>
    <w:rsid w:val="22DE2C26"/>
    <w:rsid w:val="22EF587E"/>
    <w:rsid w:val="22F47480"/>
    <w:rsid w:val="230A0B46"/>
    <w:rsid w:val="230A760D"/>
    <w:rsid w:val="230B7E97"/>
    <w:rsid w:val="23140F7A"/>
    <w:rsid w:val="23197317"/>
    <w:rsid w:val="232902CA"/>
    <w:rsid w:val="234C2669"/>
    <w:rsid w:val="23525E5B"/>
    <w:rsid w:val="235D0365"/>
    <w:rsid w:val="236958BD"/>
    <w:rsid w:val="236D014F"/>
    <w:rsid w:val="2372180F"/>
    <w:rsid w:val="23906814"/>
    <w:rsid w:val="23A667C4"/>
    <w:rsid w:val="23B90AC4"/>
    <w:rsid w:val="23BC413D"/>
    <w:rsid w:val="23D03B45"/>
    <w:rsid w:val="23DE1C48"/>
    <w:rsid w:val="23DF3E58"/>
    <w:rsid w:val="24000A9F"/>
    <w:rsid w:val="240210CD"/>
    <w:rsid w:val="240B7071"/>
    <w:rsid w:val="240D1BE6"/>
    <w:rsid w:val="241E25CA"/>
    <w:rsid w:val="242D0DA5"/>
    <w:rsid w:val="242F6777"/>
    <w:rsid w:val="2461767C"/>
    <w:rsid w:val="24694098"/>
    <w:rsid w:val="2474536D"/>
    <w:rsid w:val="248A7CA4"/>
    <w:rsid w:val="249A1085"/>
    <w:rsid w:val="24A86FAF"/>
    <w:rsid w:val="24B527A8"/>
    <w:rsid w:val="24BA7FF7"/>
    <w:rsid w:val="24BF09F7"/>
    <w:rsid w:val="24CF3DAD"/>
    <w:rsid w:val="24F23BAF"/>
    <w:rsid w:val="24F55A68"/>
    <w:rsid w:val="252559C5"/>
    <w:rsid w:val="25264111"/>
    <w:rsid w:val="252D53FE"/>
    <w:rsid w:val="253C62A4"/>
    <w:rsid w:val="2543431E"/>
    <w:rsid w:val="255D431B"/>
    <w:rsid w:val="255D600C"/>
    <w:rsid w:val="257F14D2"/>
    <w:rsid w:val="25AF0D2F"/>
    <w:rsid w:val="25AF2A50"/>
    <w:rsid w:val="25B066D4"/>
    <w:rsid w:val="25C873F4"/>
    <w:rsid w:val="25CD26AA"/>
    <w:rsid w:val="25D32CCA"/>
    <w:rsid w:val="25D34C85"/>
    <w:rsid w:val="25E61E19"/>
    <w:rsid w:val="25EC2D81"/>
    <w:rsid w:val="25EE32B3"/>
    <w:rsid w:val="25F46A81"/>
    <w:rsid w:val="26072DCD"/>
    <w:rsid w:val="260C080E"/>
    <w:rsid w:val="26192246"/>
    <w:rsid w:val="2620080E"/>
    <w:rsid w:val="26307C40"/>
    <w:rsid w:val="263A12D0"/>
    <w:rsid w:val="263B1DC9"/>
    <w:rsid w:val="264164F8"/>
    <w:rsid w:val="267065A8"/>
    <w:rsid w:val="2677363B"/>
    <w:rsid w:val="267B7FE9"/>
    <w:rsid w:val="26810D0D"/>
    <w:rsid w:val="26920712"/>
    <w:rsid w:val="26936EEF"/>
    <w:rsid w:val="269447B0"/>
    <w:rsid w:val="26AC3C2F"/>
    <w:rsid w:val="26B56AD1"/>
    <w:rsid w:val="26C17FE2"/>
    <w:rsid w:val="26D705D9"/>
    <w:rsid w:val="26E20DC9"/>
    <w:rsid w:val="270B78C1"/>
    <w:rsid w:val="27323637"/>
    <w:rsid w:val="27373A01"/>
    <w:rsid w:val="273F4E9F"/>
    <w:rsid w:val="27420E52"/>
    <w:rsid w:val="275156A2"/>
    <w:rsid w:val="276701C8"/>
    <w:rsid w:val="277057A2"/>
    <w:rsid w:val="27870120"/>
    <w:rsid w:val="27934870"/>
    <w:rsid w:val="27A476E4"/>
    <w:rsid w:val="27A67575"/>
    <w:rsid w:val="27A85CFD"/>
    <w:rsid w:val="27AA71C4"/>
    <w:rsid w:val="27AF3BC5"/>
    <w:rsid w:val="27B35E8D"/>
    <w:rsid w:val="27B374F5"/>
    <w:rsid w:val="27B52406"/>
    <w:rsid w:val="27BF4E97"/>
    <w:rsid w:val="27CA39F0"/>
    <w:rsid w:val="27CE080F"/>
    <w:rsid w:val="27E456BE"/>
    <w:rsid w:val="27F96DB1"/>
    <w:rsid w:val="28034BEE"/>
    <w:rsid w:val="28150FED"/>
    <w:rsid w:val="281659F8"/>
    <w:rsid w:val="28324742"/>
    <w:rsid w:val="283C5F04"/>
    <w:rsid w:val="285206A0"/>
    <w:rsid w:val="2863276A"/>
    <w:rsid w:val="286B4B64"/>
    <w:rsid w:val="28723E50"/>
    <w:rsid w:val="287E43FA"/>
    <w:rsid w:val="288503C7"/>
    <w:rsid w:val="289C5E88"/>
    <w:rsid w:val="28A44C69"/>
    <w:rsid w:val="28B11590"/>
    <w:rsid w:val="28BD087B"/>
    <w:rsid w:val="28C4166F"/>
    <w:rsid w:val="28D245B2"/>
    <w:rsid w:val="28DF3CE4"/>
    <w:rsid w:val="28E263BB"/>
    <w:rsid w:val="28F931F2"/>
    <w:rsid w:val="2908328A"/>
    <w:rsid w:val="291345B6"/>
    <w:rsid w:val="291B560B"/>
    <w:rsid w:val="291D51A6"/>
    <w:rsid w:val="29206EB8"/>
    <w:rsid w:val="2939600A"/>
    <w:rsid w:val="294B6C8F"/>
    <w:rsid w:val="29595666"/>
    <w:rsid w:val="296F703C"/>
    <w:rsid w:val="297C63F6"/>
    <w:rsid w:val="29874881"/>
    <w:rsid w:val="29B45CCD"/>
    <w:rsid w:val="29B71640"/>
    <w:rsid w:val="29BA007A"/>
    <w:rsid w:val="29BE2649"/>
    <w:rsid w:val="29C96C3C"/>
    <w:rsid w:val="29D521EE"/>
    <w:rsid w:val="29E325E0"/>
    <w:rsid w:val="29E63C28"/>
    <w:rsid w:val="2A0712F8"/>
    <w:rsid w:val="2A0D0502"/>
    <w:rsid w:val="2A1004B9"/>
    <w:rsid w:val="2A111B00"/>
    <w:rsid w:val="2A3A6AC5"/>
    <w:rsid w:val="2A452503"/>
    <w:rsid w:val="2A470BDA"/>
    <w:rsid w:val="2A574881"/>
    <w:rsid w:val="2A5F230B"/>
    <w:rsid w:val="2A607C6A"/>
    <w:rsid w:val="2A776C75"/>
    <w:rsid w:val="2A821750"/>
    <w:rsid w:val="2A9044FC"/>
    <w:rsid w:val="2A945EF9"/>
    <w:rsid w:val="2AA41077"/>
    <w:rsid w:val="2ACB0A44"/>
    <w:rsid w:val="2AD53BD2"/>
    <w:rsid w:val="2AE62B98"/>
    <w:rsid w:val="2AE7289B"/>
    <w:rsid w:val="2AF767F5"/>
    <w:rsid w:val="2AF94649"/>
    <w:rsid w:val="2AFE4625"/>
    <w:rsid w:val="2B0351EF"/>
    <w:rsid w:val="2B091E34"/>
    <w:rsid w:val="2B3051BA"/>
    <w:rsid w:val="2B3926AD"/>
    <w:rsid w:val="2B4444AA"/>
    <w:rsid w:val="2B614DFC"/>
    <w:rsid w:val="2B666CE0"/>
    <w:rsid w:val="2B6736B4"/>
    <w:rsid w:val="2B6F27F3"/>
    <w:rsid w:val="2B7943DA"/>
    <w:rsid w:val="2B8005AD"/>
    <w:rsid w:val="2B812273"/>
    <w:rsid w:val="2B9B35B5"/>
    <w:rsid w:val="2BA936A8"/>
    <w:rsid w:val="2BAB5AB9"/>
    <w:rsid w:val="2BD57194"/>
    <w:rsid w:val="2BE84C45"/>
    <w:rsid w:val="2BE93751"/>
    <w:rsid w:val="2C072228"/>
    <w:rsid w:val="2C1F6752"/>
    <w:rsid w:val="2C205385"/>
    <w:rsid w:val="2C2C3131"/>
    <w:rsid w:val="2C315A5A"/>
    <w:rsid w:val="2C351361"/>
    <w:rsid w:val="2C3A48B5"/>
    <w:rsid w:val="2C4B1C25"/>
    <w:rsid w:val="2C6F0436"/>
    <w:rsid w:val="2C820FC8"/>
    <w:rsid w:val="2C9425C5"/>
    <w:rsid w:val="2C962C6E"/>
    <w:rsid w:val="2C9D22A8"/>
    <w:rsid w:val="2CBE27CD"/>
    <w:rsid w:val="2CC30861"/>
    <w:rsid w:val="2CC667DA"/>
    <w:rsid w:val="2CC9424B"/>
    <w:rsid w:val="2CCB1428"/>
    <w:rsid w:val="2CCE02CC"/>
    <w:rsid w:val="2CDA47D9"/>
    <w:rsid w:val="2CDD4490"/>
    <w:rsid w:val="2D093A86"/>
    <w:rsid w:val="2D0F1FBE"/>
    <w:rsid w:val="2D153B23"/>
    <w:rsid w:val="2D1541FF"/>
    <w:rsid w:val="2D1C4AD4"/>
    <w:rsid w:val="2D1F73A2"/>
    <w:rsid w:val="2D254F57"/>
    <w:rsid w:val="2D300C71"/>
    <w:rsid w:val="2D343C85"/>
    <w:rsid w:val="2D35487E"/>
    <w:rsid w:val="2D371025"/>
    <w:rsid w:val="2D400A12"/>
    <w:rsid w:val="2D4276DA"/>
    <w:rsid w:val="2D575254"/>
    <w:rsid w:val="2D5A7AC3"/>
    <w:rsid w:val="2D676EF6"/>
    <w:rsid w:val="2D6C24D0"/>
    <w:rsid w:val="2D803C54"/>
    <w:rsid w:val="2D8E361B"/>
    <w:rsid w:val="2D9E56F5"/>
    <w:rsid w:val="2DA324F4"/>
    <w:rsid w:val="2DAD756B"/>
    <w:rsid w:val="2DAE0DF0"/>
    <w:rsid w:val="2DDA710D"/>
    <w:rsid w:val="2DE277BC"/>
    <w:rsid w:val="2DF9064B"/>
    <w:rsid w:val="2E0D7A56"/>
    <w:rsid w:val="2E154444"/>
    <w:rsid w:val="2E214C54"/>
    <w:rsid w:val="2E330B06"/>
    <w:rsid w:val="2E4305FE"/>
    <w:rsid w:val="2E517F0F"/>
    <w:rsid w:val="2E58711D"/>
    <w:rsid w:val="2E5A20BA"/>
    <w:rsid w:val="2E5B351F"/>
    <w:rsid w:val="2E5B3DBB"/>
    <w:rsid w:val="2E623682"/>
    <w:rsid w:val="2E667F96"/>
    <w:rsid w:val="2E757A56"/>
    <w:rsid w:val="2E8226AB"/>
    <w:rsid w:val="2E8402E9"/>
    <w:rsid w:val="2E85097C"/>
    <w:rsid w:val="2E886985"/>
    <w:rsid w:val="2E8B74ED"/>
    <w:rsid w:val="2E8D2797"/>
    <w:rsid w:val="2E8F4D05"/>
    <w:rsid w:val="2E9C12DE"/>
    <w:rsid w:val="2EB621EF"/>
    <w:rsid w:val="2ED32F03"/>
    <w:rsid w:val="2EDD6402"/>
    <w:rsid w:val="2EDF68F6"/>
    <w:rsid w:val="2EE551BD"/>
    <w:rsid w:val="2EE60BBB"/>
    <w:rsid w:val="2F010035"/>
    <w:rsid w:val="2F0C6170"/>
    <w:rsid w:val="2F141BCE"/>
    <w:rsid w:val="2F1772BF"/>
    <w:rsid w:val="2F1A3188"/>
    <w:rsid w:val="2F1B705D"/>
    <w:rsid w:val="2F2A63FD"/>
    <w:rsid w:val="2F2B5437"/>
    <w:rsid w:val="2F4B621B"/>
    <w:rsid w:val="2F4E07F5"/>
    <w:rsid w:val="2F670FAF"/>
    <w:rsid w:val="2F7A1D3B"/>
    <w:rsid w:val="2F7A4E1F"/>
    <w:rsid w:val="2F827A71"/>
    <w:rsid w:val="2F9D3E9D"/>
    <w:rsid w:val="2F9F43B8"/>
    <w:rsid w:val="2FA17D21"/>
    <w:rsid w:val="2FD065E6"/>
    <w:rsid w:val="2FD96870"/>
    <w:rsid w:val="2FEB0445"/>
    <w:rsid w:val="2FEE1287"/>
    <w:rsid w:val="300E25FC"/>
    <w:rsid w:val="30154A0B"/>
    <w:rsid w:val="30206698"/>
    <w:rsid w:val="303C010C"/>
    <w:rsid w:val="303D16D8"/>
    <w:rsid w:val="304D2DB0"/>
    <w:rsid w:val="30580BC9"/>
    <w:rsid w:val="305817D6"/>
    <w:rsid w:val="305E77DA"/>
    <w:rsid w:val="30613D23"/>
    <w:rsid w:val="306F2EF9"/>
    <w:rsid w:val="3074315F"/>
    <w:rsid w:val="308646A7"/>
    <w:rsid w:val="30875B7B"/>
    <w:rsid w:val="30876A23"/>
    <w:rsid w:val="308A55AD"/>
    <w:rsid w:val="309B7907"/>
    <w:rsid w:val="309E720C"/>
    <w:rsid w:val="30A7543E"/>
    <w:rsid w:val="30A83143"/>
    <w:rsid w:val="30D75D72"/>
    <w:rsid w:val="30D95E84"/>
    <w:rsid w:val="30DA38EA"/>
    <w:rsid w:val="30DB3265"/>
    <w:rsid w:val="30DF37BB"/>
    <w:rsid w:val="30F4103B"/>
    <w:rsid w:val="31021174"/>
    <w:rsid w:val="31022258"/>
    <w:rsid w:val="310416F3"/>
    <w:rsid w:val="31103C9B"/>
    <w:rsid w:val="3114185D"/>
    <w:rsid w:val="311A70D6"/>
    <w:rsid w:val="311E2ED7"/>
    <w:rsid w:val="311E5357"/>
    <w:rsid w:val="312D0524"/>
    <w:rsid w:val="312E46E3"/>
    <w:rsid w:val="31445D23"/>
    <w:rsid w:val="314918FE"/>
    <w:rsid w:val="314E48EB"/>
    <w:rsid w:val="315619EE"/>
    <w:rsid w:val="315C449C"/>
    <w:rsid w:val="315C59A1"/>
    <w:rsid w:val="316072CB"/>
    <w:rsid w:val="317E1E1D"/>
    <w:rsid w:val="318179DB"/>
    <w:rsid w:val="31884521"/>
    <w:rsid w:val="318F4B3D"/>
    <w:rsid w:val="31996380"/>
    <w:rsid w:val="319C781A"/>
    <w:rsid w:val="31A0279C"/>
    <w:rsid w:val="31A73606"/>
    <w:rsid w:val="31B82709"/>
    <w:rsid w:val="31B96E85"/>
    <w:rsid w:val="31BC0FC2"/>
    <w:rsid w:val="31CB684A"/>
    <w:rsid w:val="31D05482"/>
    <w:rsid w:val="31D87401"/>
    <w:rsid w:val="31EB6339"/>
    <w:rsid w:val="320026E7"/>
    <w:rsid w:val="320A1628"/>
    <w:rsid w:val="320D0834"/>
    <w:rsid w:val="32180B14"/>
    <w:rsid w:val="3227620F"/>
    <w:rsid w:val="32400B34"/>
    <w:rsid w:val="32486DF7"/>
    <w:rsid w:val="325D788F"/>
    <w:rsid w:val="32724B58"/>
    <w:rsid w:val="327C51AD"/>
    <w:rsid w:val="32825DD0"/>
    <w:rsid w:val="32891346"/>
    <w:rsid w:val="328D3D92"/>
    <w:rsid w:val="329E6876"/>
    <w:rsid w:val="32A2211C"/>
    <w:rsid w:val="32A27D25"/>
    <w:rsid w:val="32A4290B"/>
    <w:rsid w:val="32A816A8"/>
    <w:rsid w:val="32A93265"/>
    <w:rsid w:val="32BE63CA"/>
    <w:rsid w:val="32C132CA"/>
    <w:rsid w:val="32DA52A5"/>
    <w:rsid w:val="32E25973"/>
    <w:rsid w:val="33086E06"/>
    <w:rsid w:val="33096FC3"/>
    <w:rsid w:val="3311065C"/>
    <w:rsid w:val="331661A1"/>
    <w:rsid w:val="331D3FAA"/>
    <w:rsid w:val="3321792F"/>
    <w:rsid w:val="333015F2"/>
    <w:rsid w:val="333A48E4"/>
    <w:rsid w:val="333D3F94"/>
    <w:rsid w:val="333E14C1"/>
    <w:rsid w:val="33431527"/>
    <w:rsid w:val="33491E6F"/>
    <w:rsid w:val="334B6320"/>
    <w:rsid w:val="334C3F78"/>
    <w:rsid w:val="334E4123"/>
    <w:rsid w:val="336B2A6F"/>
    <w:rsid w:val="336D5781"/>
    <w:rsid w:val="33704FA9"/>
    <w:rsid w:val="337B2EE0"/>
    <w:rsid w:val="337F59F6"/>
    <w:rsid w:val="33861ACC"/>
    <w:rsid w:val="33987B7A"/>
    <w:rsid w:val="339B6FC9"/>
    <w:rsid w:val="33AA3937"/>
    <w:rsid w:val="33AF008A"/>
    <w:rsid w:val="33BB6B49"/>
    <w:rsid w:val="33C67885"/>
    <w:rsid w:val="33C75999"/>
    <w:rsid w:val="33CD561A"/>
    <w:rsid w:val="33D934D4"/>
    <w:rsid w:val="33E01A00"/>
    <w:rsid w:val="33E20F29"/>
    <w:rsid w:val="33FA0DFE"/>
    <w:rsid w:val="33FC6207"/>
    <w:rsid w:val="33FE2F6A"/>
    <w:rsid w:val="340B6ACB"/>
    <w:rsid w:val="340E07E5"/>
    <w:rsid w:val="340E3DFC"/>
    <w:rsid w:val="34235BF7"/>
    <w:rsid w:val="34240B6E"/>
    <w:rsid w:val="3424197E"/>
    <w:rsid w:val="342F72FB"/>
    <w:rsid w:val="343D21C5"/>
    <w:rsid w:val="34486709"/>
    <w:rsid w:val="344A487E"/>
    <w:rsid w:val="3459197D"/>
    <w:rsid w:val="34641F76"/>
    <w:rsid w:val="34644339"/>
    <w:rsid w:val="346D2834"/>
    <w:rsid w:val="34771E9D"/>
    <w:rsid w:val="34A778BD"/>
    <w:rsid w:val="34AB5860"/>
    <w:rsid w:val="34AD6DBF"/>
    <w:rsid w:val="34B97E3F"/>
    <w:rsid w:val="34BE133D"/>
    <w:rsid w:val="34C323A8"/>
    <w:rsid w:val="34C323E3"/>
    <w:rsid w:val="34C77659"/>
    <w:rsid w:val="34CD423B"/>
    <w:rsid w:val="34D52F50"/>
    <w:rsid w:val="34E426DA"/>
    <w:rsid w:val="34E52B15"/>
    <w:rsid w:val="34FC7AB2"/>
    <w:rsid w:val="35002F3A"/>
    <w:rsid w:val="351C090F"/>
    <w:rsid w:val="3525039B"/>
    <w:rsid w:val="352B4123"/>
    <w:rsid w:val="353C3FD9"/>
    <w:rsid w:val="354F2B17"/>
    <w:rsid w:val="35766CEB"/>
    <w:rsid w:val="35781AC7"/>
    <w:rsid w:val="357873C3"/>
    <w:rsid w:val="358C5FA8"/>
    <w:rsid w:val="3596628D"/>
    <w:rsid w:val="359A11AC"/>
    <w:rsid w:val="35C15DF1"/>
    <w:rsid w:val="35D01FC0"/>
    <w:rsid w:val="36074A7F"/>
    <w:rsid w:val="360E173E"/>
    <w:rsid w:val="3615697C"/>
    <w:rsid w:val="361E4D4A"/>
    <w:rsid w:val="36234237"/>
    <w:rsid w:val="362A3E1A"/>
    <w:rsid w:val="36343A91"/>
    <w:rsid w:val="365C5B89"/>
    <w:rsid w:val="367E5F0D"/>
    <w:rsid w:val="368032A9"/>
    <w:rsid w:val="36826CD1"/>
    <w:rsid w:val="36923549"/>
    <w:rsid w:val="369E5379"/>
    <w:rsid w:val="36B12FC8"/>
    <w:rsid w:val="36B520FF"/>
    <w:rsid w:val="36B75FBF"/>
    <w:rsid w:val="36BD0C45"/>
    <w:rsid w:val="36DC4C43"/>
    <w:rsid w:val="36E20867"/>
    <w:rsid w:val="36EB5BEF"/>
    <w:rsid w:val="36F71D10"/>
    <w:rsid w:val="37001986"/>
    <w:rsid w:val="370261BB"/>
    <w:rsid w:val="37067B44"/>
    <w:rsid w:val="370967E2"/>
    <w:rsid w:val="371035AE"/>
    <w:rsid w:val="37313006"/>
    <w:rsid w:val="374123D2"/>
    <w:rsid w:val="37591DB9"/>
    <w:rsid w:val="37660C86"/>
    <w:rsid w:val="37746422"/>
    <w:rsid w:val="37A11CE0"/>
    <w:rsid w:val="37A752F2"/>
    <w:rsid w:val="37AB469A"/>
    <w:rsid w:val="37AB5578"/>
    <w:rsid w:val="37E00298"/>
    <w:rsid w:val="37E5353C"/>
    <w:rsid w:val="37ED64F2"/>
    <w:rsid w:val="38020567"/>
    <w:rsid w:val="380D1FB1"/>
    <w:rsid w:val="3811740A"/>
    <w:rsid w:val="381D65C3"/>
    <w:rsid w:val="381E507A"/>
    <w:rsid w:val="38205CB3"/>
    <w:rsid w:val="382571C4"/>
    <w:rsid w:val="38354B47"/>
    <w:rsid w:val="38447BAA"/>
    <w:rsid w:val="38486CEE"/>
    <w:rsid w:val="38490708"/>
    <w:rsid w:val="384F5E36"/>
    <w:rsid w:val="385E43E4"/>
    <w:rsid w:val="38604587"/>
    <w:rsid w:val="38704AC7"/>
    <w:rsid w:val="38930767"/>
    <w:rsid w:val="3895157D"/>
    <w:rsid w:val="389F03D1"/>
    <w:rsid w:val="38A66FB0"/>
    <w:rsid w:val="38AB2F88"/>
    <w:rsid w:val="38AB7878"/>
    <w:rsid w:val="38B302F9"/>
    <w:rsid w:val="38C07058"/>
    <w:rsid w:val="38CB40EB"/>
    <w:rsid w:val="38DF3A46"/>
    <w:rsid w:val="38F12CD3"/>
    <w:rsid w:val="38F22FAB"/>
    <w:rsid w:val="38F50201"/>
    <w:rsid w:val="38F94775"/>
    <w:rsid w:val="38FC27B7"/>
    <w:rsid w:val="392971ED"/>
    <w:rsid w:val="39325651"/>
    <w:rsid w:val="394903B1"/>
    <w:rsid w:val="39643701"/>
    <w:rsid w:val="39765BF7"/>
    <w:rsid w:val="39802417"/>
    <w:rsid w:val="398B4783"/>
    <w:rsid w:val="39954764"/>
    <w:rsid w:val="39AE49B2"/>
    <w:rsid w:val="39DC3E00"/>
    <w:rsid w:val="3A0D7BFF"/>
    <w:rsid w:val="3A0E43C7"/>
    <w:rsid w:val="3A0E466B"/>
    <w:rsid w:val="3A2907A4"/>
    <w:rsid w:val="3A30504C"/>
    <w:rsid w:val="3A4C6255"/>
    <w:rsid w:val="3A580B90"/>
    <w:rsid w:val="3A60353B"/>
    <w:rsid w:val="3A6362AD"/>
    <w:rsid w:val="3A666502"/>
    <w:rsid w:val="3A6A7F94"/>
    <w:rsid w:val="3A6B472C"/>
    <w:rsid w:val="3A753EF2"/>
    <w:rsid w:val="3A866D80"/>
    <w:rsid w:val="3A872856"/>
    <w:rsid w:val="3A8A228C"/>
    <w:rsid w:val="3A8D1D2E"/>
    <w:rsid w:val="3A8E2B8F"/>
    <w:rsid w:val="3A9856E6"/>
    <w:rsid w:val="3A9A57C4"/>
    <w:rsid w:val="3AA05ECD"/>
    <w:rsid w:val="3AB12C36"/>
    <w:rsid w:val="3AB51041"/>
    <w:rsid w:val="3AC10275"/>
    <w:rsid w:val="3AC2551E"/>
    <w:rsid w:val="3AD76104"/>
    <w:rsid w:val="3AEA0221"/>
    <w:rsid w:val="3AEC3E13"/>
    <w:rsid w:val="3B0C6231"/>
    <w:rsid w:val="3B16148C"/>
    <w:rsid w:val="3B20644A"/>
    <w:rsid w:val="3B226796"/>
    <w:rsid w:val="3B284570"/>
    <w:rsid w:val="3B307C2B"/>
    <w:rsid w:val="3B317231"/>
    <w:rsid w:val="3B3763D1"/>
    <w:rsid w:val="3B592468"/>
    <w:rsid w:val="3B684BA6"/>
    <w:rsid w:val="3B7C2922"/>
    <w:rsid w:val="3B861E60"/>
    <w:rsid w:val="3BA83F4E"/>
    <w:rsid w:val="3BB857BF"/>
    <w:rsid w:val="3BC0241F"/>
    <w:rsid w:val="3BD97219"/>
    <w:rsid w:val="3BD973C6"/>
    <w:rsid w:val="3BDF489A"/>
    <w:rsid w:val="3BE50724"/>
    <w:rsid w:val="3BEF11AB"/>
    <w:rsid w:val="3BF27BEF"/>
    <w:rsid w:val="3BFD5EED"/>
    <w:rsid w:val="3C097D0B"/>
    <w:rsid w:val="3C124F62"/>
    <w:rsid w:val="3C154D88"/>
    <w:rsid w:val="3C200A49"/>
    <w:rsid w:val="3C2137C0"/>
    <w:rsid w:val="3C2F6E1E"/>
    <w:rsid w:val="3C3323FA"/>
    <w:rsid w:val="3C4052A7"/>
    <w:rsid w:val="3C4F64BA"/>
    <w:rsid w:val="3C501763"/>
    <w:rsid w:val="3C7C7A6B"/>
    <w:rsid w:val="3C7F1A2E"/>
    <w:rsid w:val="3C800BD8"/>
    <w:rsid w:val="3C883474"/>
    <w:rsid w:val="3C902BC6"/>
    <w:rsid w:val="3CA60F32"/>
    <w:rsid w:val="3CA80261"/>
    <w:rsid w:val="3CAF790D"/>
    <w:rsid w:val="3CB041EC"/>
    <w:rsid w:val="3CB131CC"/>
    <w:rsid w:val="3CC621A6"/>
    <w:rsid w:val="3CCB44E9"/>
    <w:rsid w:val="3CCC41A4"/>
    <w:rsid w:val="3CD41494"/>
    <w:rsid w:val="3CD507FB"/>
    <w:rsid w:val="3CDA245A"/>
    <w:rsid w:val="3CDF49B2"/>
    <w:rsid w:val="3CE21D44"/>
    <w:rsid w:val="3CED1ACB"/>
    <w:rsid w:val="3CFB6EE7"/>
    <w:rsid w:val="3D171F7F"/>
    <w:rsid w:val="3D1B5CDB"/>
    <w:rsid w:val="3D1E06B7"/>
    <w:rsid w:val="3D3C0EBD"/>
    <w:rsid w:val="3D3F1C66"/>
    <w:rsid w:val="3D3F7C8A"/>
    <w:rsid w:val="3D4D5306"/>
    <w:rsid w:val="3D516A30"/>
    <w:rsid w:val="3D5A2C20"/>
    <w:rsid w:val="3D5B0290"/>
    <w:rsid w:val="3D5E6218"/>
    <w:rsid w:val="3D7C5B0B"/>
    <w:rsid w:val="3D7F46A8"/>
    <w:rsid w:val="3DAC1609"/>
    <w:rsid w:val="3DC92D7C"/>
    <w:rsid w:val="3DD17361"/>
    <w:rsid w:val="3DDF79B8"/>
    <w:rsid w:val="3DE01A2F"/>
    <w:rsid w:val="3E0B1D55"/>
    <w:rsid w:val="3E1F2BD9"/>
    <w:rsid w:val="3E305D28"/>
    <w:rsid w:val="3E366B23"/>
    <w:rsid w:val="3E3D032D"/>
    <w:rsid w:val="3E540B28"/>
    <w:rsid w:val="3E661A55"/>
    <w:rsid w:val="3E6C38A7"/>
    <w:rsid w:val="3E744D87"/>
    <w:rsid w:val="3E930D6B"/>
    <w:rsid w:val="3E9C088A"/>
    <w:rsid w:val="3EB068BE"/>
    <w:rsid w:val="3EC826BA"/>
    <w:rsid w:val="3ECD2E0C"/>
    <w:rsid w:val="3ED92EDB"/>
    <w:rsid w:val="3EDA0523"/>
    <w:rsid w:val="3EDB679C"/>
    <w:rsid w:val="3EF95F14"/>
    <w:rsid w:val="3EFE6174"/>
    <w:rsid w:val="3EFE645D"/>
    <w:rsid w:val="3F0154C1"/>
    <w:rsid w:val="3F1A6ACF"/>
    <w:rsid w:val="3F47465F"/>
    <w:rsid w:val="3F774799"/>
    <w:rsid w:val="3F834260"/>
    <w:rsid w:val="3F8974AD"/>
    <w:rsid w:val="3F9F0D7F"/>
    <w:rsid w:val="3FB26FC9"/>
    <w:rsid w:val="400F631F"/>
    <w:rsid w:val="403A4F09"/>
    <w:rsid w:val="404467D4"/>
    <w:rsid w:val="405A5881"/>
    <w:rsid w:val="40635FF4"/>
    <w:rsid w:val="406A1551"/>
    <w:rsid w:val="40726074"/>
    <w:rsid w:val="407A6407"/>
    <w:rsid w:val="407F5F43"/>
    <w:rsid w:val="40896681"/>
    <w:rsid w:val="40C02491"/>
    <w:rsid w:val="40C90964"/>
    <w:rsid w:val="40CA3698"/>
    <w:rsid w:val="40CB3CC5"/>
    <w:rsid w:val="40D9779A"/>
    <w:rsid w:val="40DB4C1D"/>
    <w:rsid w:val="410D3B05"/>
    <w:rsid w:val="410E4A54"/>
    <w:rsid w:val="410F4A63"/>
    <w:rsid w:val="41136374"/>
    <w:rsid w:val="412920C7"/>
    <w:rsid w:val="4137575D"/>
    <w:rsid w:val="41386E3A"/>
    <w:rsid w:val="413A66E5"/>
    <w:rsid w:val="41625BCC"/>
    <w:rsid w:val="416F061D"/>
    <w:rsid w:val="41852474"/>
    <w:rsid w:val="418A22A0"/>
    <w:rsid w:val="41900B55"/>
    <w:rsid w:val="41B42A0E"/>
    <w:rsid w:val="41BB49C1"/>
    <w:rsid w:val="41DB1869"/>
    <w:rsid w:val="41F12F08"/>
    <w:rsid w:val="41F71389"/>
    <w:rsid w:val="4200449D"/>
    <w:rsid w:val="420D0691"/>
    <w:rsid w:val="421448E2"/>
    <w:rsid w:val="421E2308"/>
    <w:rsid w:val="421F758B"/>
    <w:rsid w:val="422334C1"/>
    <w:rsid w:val="42267B77"/>
    <w:rsid w:val="422A661B"/>
    <w:rsid w:val="42367416"/>
    <w:rsid w:val="42395B4F"/>
    <w:rsid w:val="423A3BCC"/>
    <w:rsid w:val="423E71F8"/>
    <w:rsid w:val="424E57D2"/>
    <w:rsid w:val="425145DC"/>
    <w:rsid w:val="42595253"/>
    <w:rsid w:val="42650126"/>
    <w:rsid w:val="42A074E7"/>
    <w:rsid w:val="42AB71E7"/>
    <w:rsid w:val="42B26C49"/>
    <w:rsid w:val="42B700BF"/>
    <w:rsid w:val="42C0575E"/>
    <w:rsid w:val="42F1636E"/>
    <w:rsid w:val="42F570DF"/>
    <w:rsid w:val="42F974B1"/>
    <w:rsid w:val="431D0E82"/>
    <w:rsid w:val="433A6FE6"/>
    <w:rsid w:val="43470A58"/>
    <w:rsid w:val="43480868"/>
    <w:rsid w:val="4350713C"/>
    <w:rsid w:val="435A5AC8"/>
    <w:rsid w:val="43644CC1"/>
    <w:rsid w:val="436653E0"/>
    <w:rsid w:val="437042B3"/>
    <w:rsid w:val="43872228"/>
    <w:rsid w:val="438D7F35"/>
    <w:rsid w:val="43C4431A"/>
    <w:rsid w:val="43CC5F36"/>
    <w:rsid w:val="43E10801"/>
    <w:rsid w:val="43ED4F98"/>
    <w:rsid w:val="43F331BE"/>
    <w:rsid w:val="43F532E9"/>
    <w:rsid w:val="440F063F"/>
    <w:rsid w:val="44162444"/>
    <w:rsid w:val="441B6C3E"/>
    <w:rsid w:val="441B77A5"/>
    <w:rsid w:val="441C1B98"/>
    <w:rsid w:val="44330765"/>
    <w:rsid w:val="443F278F"/>
    <w:rsid w:val="444A4224"/>
    <w:rsid w:val="444A5C50"/>
    <w:rsid w:val="4465678E"/>
    <w:rsid w:val="446778C1"/>
    <w:rsid w:val="44696891"/>
    <w:rsid w:val="4470507D"/>
    <w:rsid w:val="4489485C"/>
    <w:rsid w:val="448C3C54"/>
    <w:rsid w:val="448E32A0"/>
    <w:rsid w:val="448F57E6"/>
    <w:rsid w:val="44903057"/>
    <w:rsid w:val="44926021"/>
    <w:rsid w:val="4493391C"/>
    <w:rsid w:val="449E39C7"/>
    <w:rsid w:val="44B951CC"/>
    <w:rsid w:val="44BC4047"/>
    <w:rsid w:val="44BE6D92"/>
    <w:rsid w:val="44C33269"/>
    <w:rsid w:val="44CD14E0"/>
    <w:rsid w:val="44D35225"/>
    <w:rsid w:val="44DD0FF5"/>
    <w:rsid w:val="44DD393A"/>
    <w:rsid w:val="44DF6EF9"/>
    <w:rsid w:val="44E802A8"/>
    <w:rsid w:val="44EF189D"/>
    <w:rsid w:val="44F20B0B"/>
    <w:rsid w:val="44FD162B"/>
    <w:rsid w:val="450F7D59"/>
    <w:rsid w:val="4512720C"/>
    <w:rsid w:val="45236802"/>
    <w:rsid w:val="452E5F4C"/>
    <w:rsid w:val="45366007"/>
    <w:rsid w:val="453B558E"/>
    <w:rsid w:val="454070D2"/>
    <w:rsid w:val="45413F21"/>
    <w:rsid w:val="45536EA0"/>
    <w:rsid w:val="45612018"/>
    <w:rsid w:val="45717758"/>
    <w:rsid w:val="458946E9"/>
    <w:rsid w:val="45A47C0E"/>
    <w:rsid w:val="45BF62B6"/>
    <w:rsid w:val="45C33F69"/>
    <w:rsid w:val="45D51E25"/>
    <w:rsid w:val="45D80F5A"/>
    <w:rsid w:val="45E46D00"/>
    <w:rsid w:val="45E75A72"/>
    <w:rsid w:val="45EC2645"/>
    <w:rsid w:val="45FA2EFA"/>
    <w:rsid w:val="46071CE2"/>
    <w:rsid w:val="461B6547"/>
    <w:rsid w:val="4620611F"/>
    <w:rsid w:val="462B30E0"/>
    <w:rsid w:val="46321D70"/>
    <w:rsid w:val="463277FF"/>
    <w:rsid w:val="46360E51"/>
    <w:rsid w:val="46361BA4"/>
    <w:rsid w:val="463C1020"/>
    <w:rsid w:val="463F61B8"/>
    <w:rsid w:val="46506894"/>
    <w:rsid w:val="46577FD6"/>
    <w:rsid w:val="465B409B"/>
    <w:rsid w:val="46737FBC"/>
    <w:rsid w:val="46751493"/>
    <w:rsid w:val="467D61E4"/>
    <w:rsid w:val="468407D3"/>
    <w:rsid w:val="468D658F"/>
    <w:rsid w:val="468E40F1"/>
    <w:rsid w:val="469610C9"/>
    <w:rsid w:val="469B4D5E"/>
    <w:rsid w:val="46A25B0C"/>
    <w:rsid w:val="46AB0B3D"/>
    <w:rsid w:val="46B80FF6"/>
    <w:rsid w:val="46D329A3"/>
    <w:rsid w:val="46D955A7"/>
    <w:rsid w:val="46E45E68"/>
    <w:rsid w:val="46E73643"/>
    <w:rsid w:val="46ED2927"/>
    <w:rsid w:val="46F20B7E"/>
    <w:rsid w:val="46F70919"/>
    <w:rsid w:val="470A1C60"/>
    <w:rsid w:val="470C2549"/>
    <w:rsid w:val="470E2256"/>
    <w:rsid w:val="47133957"/>
    <w:rsid w:val="4716579C"/>
    <w:rsid w:val="47230B52"/>
    <w:rsid w:val="473B7A45"/>
    <w:rsid w:val="474561DB"/>
    <w:rsid w:val="47475ABC"/>
    <w:rsid w:val="47536727"/>
    <w:rsid w:val="475707A7"/>
    <w:rsid w:val="47581629"/>
    <w:rsid w:val="476070B7"/>
    <w:rsid w:val="47785B0C"/>
    <w:rsid w:val="477E70F7"/>
    <w:rsid w:val="47841CFF"/>
    <w:rsid w:val="47871A78"/>
    <w:rsid w:val="478B2CCE"/>
    <w:rsid w:val="47A07E0C"/>
    <w:rsid w:val="47A95EA5"/>
    <w:rsid w:val="47B074C8"/>
    <w:rsid w:val="47B56048"/>
    <w:rsid w:val="47CE040B"/>
    <w:rsid w:val="47D5160A"/>
    <w:rsid w:val="47DD4296"/>
    <w:rsid w:val="47E17FEB"/>
    <w:rsid w:val="47FA4410"/>
    <w:rsid w:val="48003D4C"/>
    <w:rsid w:val="48026013"/>
    <w:rsid w:val="480B6434"/>
    <w:rsid w:val="481363FC"/>
    <w:rsid w:val="481D49C2"/>
    <w:rsid w:val="48203F48"/>
    <w:rsid w:val="48291F5D"/>
    <w:rsid w:val="483574C8"/>
    <w:rsid w:val="48425FE9"/>
    <w:rsid w:val="4861592E"/>
    <w:rsid w:val="4870272E"/>
    <w:rsid w:val="48730751"/>
    <w:rsid w:val="487853EE"/>
    <w:rsid w:val="48822AF8"/>
    <w:rsid w:val="48831BD1"/>
    <w:rsid w:val="4885378E"/>
    <w:rsid w:val="489B6DF6"/>
    <w:rsid w:val="489E4238"/>
    <w:rsid w:val="48A75527"/>
    <w:rsid w:val="48C3299A"/>
    <w:rsid w:val="48C45B6B"/>
    <w:rsid w:val="48F348F1"/>
    <w:rsid w:val="48F66863"/>
    <w:rsid w:val="48F765A0"/>
    <w:rsid w:val="48FD55CE"/>
    <w:rsid w:val="48FE07E6"/>
    <w:rsid w:val="490306DA"/>
    <w:rsid w:val="49035A29"/>
    <w:rsid w:val="490B40F4"/>
    <w:rsid w:val="490C5119"/>
    <w:rsid w:val="492A79F5"/>
    <w:rsid w:val="49306BD4"/>
    <w:rsid w:val="4946198B"/>
    <w:rsid w:val="4951365D"/>
    <w:rsid w:val="49557F9E"/>
    <w:rsid w:val="495E34CF"/>
    <w:rsid w:val="49677F21"/>
    <w:rsid w:val="496D2F61"/>
    <w:rsid w:val="49821424"/>
    <w:rsid w:val="49824BC0"/>
    <w:rsid w:val="499D7515"/>
    <w:rsid w:val="49A63BC3"/>
    <w:rsid w:val="49A65E02"/>
    <w:rsid w:val="49AA5B6B"/>
    <w:rsid w:val="49AA7C6D"/>
    <w:rsid w:val="49B15BB7"/>
    <w:rsid w:val="49C12E00"/>
    <w:rsid w:val="49C37606"/>
    <w:rsid w:val="49C70A7F"/>
    <w:rsid w:val="49CE34CA"/>
    <w:rsid w:val="49DC7715"/>
    <w:rsid w:val="49E51044"/>
    <w:rsid w:val="4A023139"/>
    <w:rsid w:val="4A090FDE"/>
    <w:rsid w:val="4A1A4D4A"/>
    <w:rsid w:val="4A381CB7"/>
    <w:rsid w:val="4A3E5008"/>
    <w:rsid w:val="4A4B3CB7"/>
    <w:rsid w:val="4A7B576F"/>
    <w:rsid w:val="4A830D18"/>
    <w:rsid w:val="4A8A1C0B"/>
    <w:rsid w:val="4A8A5185"/>
    <w:rsid w:val="4A8A6386"/>
    <w:rsid w:val="4A991F58"/>
    <w:rsid w:val="4AAB743B"/>
    <w:rsid w:val="4AB0388D"/>
    <w:rsid w:val="4AB2658B"/>
    <w:rsid w:val="4AC06078"/>
    <w:rsid w:val="4AC167CA"/>
    <w:rsid w:val="4ACD2728"/>
    <w:rsid w:val="4AD6019C"/>
    <w:rsid w:val="4AE76313"/>
    <w:rsid w:val="4AF561A9"/>
    <w:rsid w:val="4AFE6698"/>
    <w:rsid w:val="4B081716"/>
    <w:rsid w:val="4B0E1A58"/>
    <w:rsid w:val="4B0E529A"/>
    <w:rsid w:val="4B2D0A89"/>
    <w:rsid w:val="4B337BAD"/>
    <w:rsid w:val="4B49543B"/>
    <w:rsid w:val="4B4F25E5"/>
    <w:rsid w:val="4B574ADA"/>
    <w:rsid w:val="4B586A2E"/>
    <w:rsid w:val="4B59270F"/>
    <w:rsid w:val="4B5C4BF3"/>
    <w:rsid w:val="4B6059E1"/>
    <w:rsid w:val="4B742249"/>
    <w:rsid w:val="4B7632A6"/>
    <w:rsid w:val="4B7D2C4A"/>
    <w:rsid w:val="4B9B380D"/>
    <w:rsid w:val="4B9C5FC2"/>
    <w:rsid w:val="4BA136AF"/>
    <w:rsid w:val="4BB95FB5"/>
    <w:rsid w:val="4BD645EF"/>
    <w:rsid w:val="4BFC0251"/>
    <w:rsid w:val="4C0B667C"/>
    <w:rsid w:val="4C102677"/>
    <w:rsid w:val="4C16048F"/>
    <w:rsid w:val="4C3341DE"/>
    <w:rsid w:val="4C4A0649"/>
    <w:rsid w:val="4C572E69"/>
    <w:rsid w:val="4C7E5ECA"/>
    <w:rsid w:val="4C876AA5"/>
    <w:rsid w:val="4C902B9F"/>
    <w:rsid w:val="4CA478D8"/>
    <w:rsid w:val="4CA545FE"/>
    <w:rsid w:val="4CAB20C9"/>
    <w:rsid w:val="4CEC4956"/>
    <w:rsid w:val="4CF74068"/>
    <w:rsid w:val="4D020DF0"/>
    <w:rsid w:val="4D0E00FB"/>
    <w:rsid w:val="4D176606"/>
    <w:rsid w:val="4D24624D"/>
    <w:rsid w:val="4D407A58"/>
    <w:rsid w:val="4D442DDA"/>
    <w:rsid w:val="4D584336"/>
    <w:rsid w:val="4D5E1F40"/>
    <w:rsid w:val="4D5F1A5F"/>
    <w:rsid w:val="4D5F7D96"/>
    <w:rsid w:val="4D693F44"/>
    <w:rsid w:val="4D741FEE"/>
    <w:rsid w:val="4D79705A"/>
    <w:rsid w:val="4D9459F3"/>
    <w:rsid w:val="4DB40CFD"/>
    <w:rsid w:val="4DBA1AA1"/>
    <w:rsid w:val="4DC411D9"/>
    <w:rsid w:val="4DCE02A6"/>
    <w:rsid w:val="4DD53CDB"/>
    <w:rsid w:val="4DEC4FB0"/>
    <w:rsid w:val="4DED6868"/>
    <w:rsid w:val="4DF618CD"/>
    <w:rsid w:val="4DFD7FA5"/>
    <w:rsid w:val="4E075D8A"/>
    <w:rsid w:val="4E107265"/>
    <w:rsid w:val="4E272C15"/>
    <w:rsid w:val="4E4A64A1"/>
    <w:rsid w:val="4E500A57"/>
    <w:rsid w:val="4E60274B"/>
    <w:rsid w:val="4E7B1D6A"/>
    <w:rsid w:val="4E7F02C3"/>
    <w:rsid w:val="4E884320"/>
    <w:rsid w:val="4E8D0981"/>
    <w:rsid w:val="4E8F76CD"/>
    <w:rsid w:val="4EA44E87"/>
    <w:rsid w:val="4EAD5684"/>
    <w:rsid w:val="4EB9414A"/>
    <w:rsid w:val="4EBC0E9E"/>
    <w:rsid w:val="4EC00FAD"/>
    <w:rsid w:val="4EC81BD5"/>
    <w:rsid w:val="4ED43D4C"/>
    <w:rsid w:val="4EE77450"/>
    <w:rsid w:val="4EEC1B5B"/>
    <w:rsid w:val="4F010808"/>
    <w:rsid w:val="4F086690"/>
    <w:rsid w:val="4F087A7A"/>
    <w:rsid w:val="4F413A1D"/>
    <w:rsid w:val="4F4C374B"/>
    <w:rsid w:val="4F4C6D85"/>
    <w:rsid w:val="4F5545FF"/>
    <w:rsid w:val="4F5A6460"/>
    <w:rsid w:val="4F92794C"/>
    <w:rsid w:val="4F9843DC"/>
    <w:rsid w:val="4FA30DCF"/>
    <w:rsid w:val="4FB02F72"/>
    <w:rsid w:val="4FBF0B38"/>
    <w:rsid w:val="4FBF0F91"/>
    <w:rsid w:val="4FC62A8C"/>
    <w:rsid w:val="4FE20F0D"/>
    <w:rsid w:val="4FE51552"/>
    <w:rsid w:val="4FFF6475"/>
    <w:rsid w:val="50063344"/>
    <w:rsid w:val="500A039E"/>
    <w:rsid w:val="50240787"/>
    <w:rsid w:val="502851FD"/>
    <w:rsid w:val="502B6F22"/>
    <w:rsid w:val="503F1A4E"/>
    <w:rsid w:val="50475322"/>
    <w:rsid w:val="50504C4B"/>
    <w:rsid w:val="506D0E1E"/>
    <w:rsid w:val="506F04F1"/>
    <w:rsid w:val="5076361F"/>
    <w:rsid w:val="5095645B"/>
    <w:rsid w:val="509C6E7C"/>
    <w:rsid w:val="50C41C48"/>
    <w:rsid w:val="50C577D2"/>
    <w:rsid w:val="50CB1981"/>
    <w:rsid w:val="50CC1702"/>
    <w:rsid w:val="50E4669C"/>
    <w:rsid w:val="50E65337"/>
    <w:rsid w:val="50EC6C50"/>
    <w:rsid w:val="50ED5875"/>
    <w:rsid w:val="50EE610C"/>
    <w:rsid w:val="50F058EE"/>
    <w:rsid w:val="50F231C9"/>
    <w:rsid w:val="50F34D48"/>
    <w:rsid w:val="50FE6A31"/>
    <w:rsid w:val="510A40A8"/>
    <w:rsid w:val="510F67A0"/>
    <w:rsid w:val="51145ECD"/>
    <w:rsid w:val="511F0D4D"/>
    <w:rsid w:val="51204451"/>
    <w:rsid w:val="51216CA9"/>
    <w:rsid w:val="51220FE6"/>
    <w:rsid w:val="51260020"/>
    <w:rsid w:val="512F7DC8"/>
    <w:rsid w:val="513B74CE"/>
    <w:rsid w:val="51596A1C"/>
    <w:rsid w:val="5162104E"/>
    <w:rsid w:val="51656C2F"/>
    <w:rsid w:val="51692977"/>
    <w:rsid w:val="51752328"/>
    <w:rsid w:val="51781633"/>
    <w:rsid w:val="51914BC9"/>
    <w:rsid w:val="51933C72"/>
    <w:rsid w:val="519848DE"/>
    <w:rsid w:val="519F7E1E"/>
    <w:rsid w:val="51B17C56"/>
    <w:rsid w:val="51C52CE3"/>
    <w:rsid w:val="51C544D5"/>
    <w:rsid w:val="51CD01E0"/>
    <w:rsid w:val="51DE6752"/>
    <w:rsid w:val="51F30CF8"/>
    <w:rsid w:val="51F56563"/>
    <w:rsid w:val="51FD660B"/>
    <w:rsid w:val="52046EF9"/>
    <w:rsid w:val="5205662A"/>
    <w:rsid w:val="52066E38"/>
    <w:rsid w:val="52101134"/>
    <w:rsid w:val="5224485F"/>
    <w:rsid w:val="52247B7F"/>
    <w:rsid w:val="52263D59"/>
    <w:rsid w:val="52271E0E"/>
    <w:rsid w:val="523216AD"/>
    <w:rsid w:val="523C6E3C"/>
    <w:rsid w:val="523D3536"/>
    <w:rsid w:val="524D67D3"/>
    <w:rsid w:val="525571C2"/>
    <w:rsid w:val="525646C0"/>
    <w:rsid w:val="525A4C85"/>
    <w:rsid w:val="525D6D1D"/>
    <w:rsid w:val="527F7C6D"/>
    <w:rsid w:val="528711C2"/>
    <w:rsid w:val="528954DB"/>
    <w:rsid w:val="52A11EF8"/>
    <w:rsid w:val="52A3463E"/>
    <w:rsid w:val="52A43AFB"/>
    <w:rsid w:val="52BC0B7B"/>
    <w:rsid w:val="52BC2E81"/>
    <w:rsid w:val="52BF71C1"/>
    <w:rsid w:val="52C10787"/>
    <w:rsid w:val="52C15BB2"/>
    <w:rsid w:val="52E4769A"/>
    <w:rsid w:val="52FD6E0E"/>
    <w:rsid w:val="53012BE2"/>
    <w:rsid w:val="53156BDC"/>
    <w:rsid w:val="531755BE"/>
    <w:rsid w:val="53180366"/>
    <w:rsid w:val="533C60C7"/>
    <w:rsid w:val="533D0E89"/>
    <w:rsid w:val="534731A1"/>
    <w:rsid w:val="535667D3"/>
    <w:rsid w:val="536F4CFB"/>
    <w:rsid w:val="537D2C27"/>
    <w:rsid w:val="53924F65"/>
    <w:rsid w:val="53A039CC"/>
    <w:rsid w:val="53A1505A"/>
    <w:rsid w:val="53BC128D"/>
    <w:rsid w:val="53C31045"/>
    <w:rsid w:val="53C96DC4"/>
    <w:rsid w:val="53CC22E7"/>
    <w:rsid w:val="53D47795"/>
    <w:rsid w:val="53E415A3"/>
    <w:rsid w:val="540146FB"/>
    <w:rsid w:val="54050BE2"/>
    <w:rsid w:val="54063E08"/>
    <w:rsid w:val="540B36DE"/>
    <w:rsid w:val="54103FD2"/>
    <w:rsid w:val="5412773F"/>
    <w:rsid w:val="5416164A"/>
    <w:rsid w:val="54183125"/>
    <w:rsid w:val="5424236A"/>
    <w:rsid w:val="542453E0"/>
    <w:rsid w:val="543437E8"/>
    <w:rsid w:val="54573747"/>
    <w:rsid w:val="546034CB"/>
    <w:rsid w:val="54662EDC"/>
    <w:rsid w:val="54705A1E"/>
    <w:rsid w:val="547B74A9"/>
    <w:rsid w:val="54895264"/>
    <w:rsid w:val="549228B2"/>
    <w:rsid w:val="54AF71CD"/>
    <w:rsid w:val="54B14813"/>
    <w:rsid w:val="54D70E9F"/>
    <w:rsid w:val="54D93DA8"/>
    <w:rsid w:val="54F70C50"/>
    <w:rsid w:val="54F73313"/>
    <w:rsid w:val="54F80955"/>
    <w:rsid w:val="54FC4B17"/>
    <w:rsid w:val="550839A9"/>
    <w:rsid w:val="5510061A"/>
    <w:rsid w:val="55256AB0"/>
    <w:rsid w:val="553200B4"/>
    <w:rsid w:val="553462A0"/>
    <w:rsid w:val="554A5F22"/>
    <w:rsid w:val="555170A7"/>
    <w:rsid w:val="55645684"/>
    <w:rsid w:val="557651ED"/>
    <w:rsid w:val="557B13CE"/>
    <w:rsid w:val="557C3846"/>
    <w:rsid w:val="55871919"/>
    <w:rsid w:val="5587536D"/>
    <w:rsid w:val="558E21A2"/>
    <w:rsid w:val="559B174B"/>
    <w:rsid w:val="55A0714D"/>
    <w:rsid w:val="55A60B79"/>
    <w:rsid w:val="55AF382B"/>
    <w:rsid w:val="55B01F8F"/>
    <w:rsid w:val="55B4007F"/>
    <w:rsid w:val="55BA391F"/>
    <w:rsid w:val="55C87CD6"/>
    <w:rsid w:val="55CE0CF4"/>
    <w:rsid w:val="55DA51DE"/>
    <w:rsid w:val="55E07E89"/>
    <w:rsid w:val="55EB4FB8"/>
    <w:rsid w:val="56052E62"/>
    <w:rsid w:val="56115DA6"/>
    <w:rsid w:val="563D398B"/>
    <w:rsid w:val="56422D28"/>
    <w:rsid w:val="564E7546"/>
    <w:rsid w:val="565C023B"/>
    <w:rsid w:val="568C1AEB"/>
    <w:rsid w:val="56AE13CF"/>
    <w:rsid w:val="56B22A9C"/>
    <w:rsid w:val="56DD62F6"/>
    <w:rsid w:val="56DE2F72"/>
    <w:rsid w:val="56E564BA"/>
    <w:rsid w:val="56E6141F"/>
    <w:rsid w:val="56E906C5"/>
    <w:rsid w:val="56EE0FEB"/>
    <w:rsid w:val="56F222F2"/>
    <w:rsid w:val="56FF4DE8"/>
    <w:rsid w:val="57276C35"/>
    <w:rsid w:val="5737529D"/>
    <w:rsid w:val="573B567D"/>
    <w:rsid w:val="576570A7"/>
    <w:rsid w:val="57662FFA"/>
    <w:rsid w:val="57685577"/>
    <w:rsid w:val="577A0F57"/>
    <w:rsid w:val="578515C8"/>
    <w:rsid w:val="57880ADB"/>
    <w:rsid w:val="57A03FE9"/>
    <w:rsid w:val="57B72A76"/>
    <w:rsid w:val="57C3426C"/>
    <w:rsid w:val="57CA0544"/>
    <w:rsid w:val="57CC4EE0"/>
    <w:rsid w:val="57CE1F93"/>
    <w:rsid w:val="57CE496D"/>
    <w:rsid w:val="57D00D68"/>
    <w:rsid w:val="57D31654"/>
    <w:rsid w:val="57D4642F"/>
    <w:rsid w:val="57DB5118"/>
    <w:rsid w:val="57EF5AF7"/>
    <w:rsid w:val="57EF7F57"/>
    <w:rsid w:val="57FC7B15"/>
    <w:rsid w:val="58110728"/>
    <w:rsid w:val="58154A71"/>
    <w:rsid w:val="581F4868"/>
    <w:rsid w:val="58226E2C"/>
    <w:rsid w:val="582C192A"/>
    <w:rsid w:val="58452FCC"/>
    <w:rsid w:val="5862527D"/>
    <w:rsid w:val="586A2F6E"/>
    <w:rsid w:val="588743D1"/>
    <w:rsid w:val="5887701A"/>
    <w:rsid w:val="58897F62"/>
    <w:rsid w:val="588E0AC5"/>
    <w:rsid w:val="589666E3"/>
    <w:rsid w:val="589A4CCE"/>
    <w:rsid w:val="58AA26C8"/>
    <w:rsid w:val="58AC24AE"/>
    <w:rsid w:val="58E50E60"/>
    <w:rsid w:val="58F72BC2"/>
    <w:rsid w:val="58FD565A"/>
    <w:rsid w:val="59051367"/>
    <w:rsid w:val="59100D64"/>
    <w:rsid w:val="591867FA"/>
    <w:rsid w:val="591F5A5E"/>
    <w:rsid w:val="59262D2B"/>
    <w:rsid w:val="594B6C55"/>
    <w:rsid w:val="594F3C82"/>
    <w:rsid w:val="594F5583"/>
    <w:rsid w:val="59576D63"/>
    <w:rsid w:val="596F183B"/>
    <w:rsid w:val="596F7F2D"/>
    <w:rsid w:val="597731F0"/>
    <w:rsid w:val="59945FAB"/>
    <w:rsid w:val="599C420B"/>
    <w:rsid w:val="59AA6C0B"/>
    <w:rsid w:val="59AD4BD1"/>
    <w:rsid w:val="59C0439F"/>
    <w:rsid w:val="59CF0F54"/>
    <w:rsid w:val="59F01D5C"/>
    <w:rsid w:val="59F038EB"/>
    <w:rsid w:val="59FD5BE3"/>
    <w:rsid w:val="59FF53A0"/>
    <w:rsid w:val="5A097D99"/>
    <w:rsid w:val="5A2338E6"/>
    <w:rsid w:val="5A3431A9"/>
    <w:rsid w:val="5A452950"/>
    <w:rsid w:val="5A523091"/>
    <w:rsid w:val="5A53471D"/>
    <w:rsid w:val="5A5B7098"/>
    <w:rsid w:val="5A696A8D"/>
    <w:rsid w:val="5A880200"/>
    <w:rsid w:val="5A96188A"/>
    <w:rsid w:val="5A990ED2"/>
    <w:rsid w:val="5AA64A40"/>
    <w:rsid w:val="5ABD390B"/>
    <w:rsid w:val="5ABE2233"/>
    <w:rsid w:val="5AC3199E"/>
    <w:rsid w:val="5ACB0E47"/>
    <w:rsid w:val="5B293BA9"/>
    <w:rsid w:val="5B481047"/>
    <w:rsid w:val="5B486D7B"/>
    <w:rsid w:val="5B572831"/>
    <w:rsid w:val="5B695199"/>
    <w:rsid w:val="5B6C254A"/>
    <w:rsid w:val="5B880F77"/>
    <w:rsid w:val="5B8B762C"/>
    <w:rsid w:val="5B946B2F"/>
    <w:rsid w:val="5BA02EC2"/>
    <w:rsid w:val="5BBC4D74"/>
    <w:rsid w:val="5BC644E0"/>
    <w:rsid w:val="5BDF2BAC"/>
    <w:rsid w:val="5BDF5D95"/>
    <w:rsid w:val="5BE91729"/>
    <w:rsid w:val="5BEA1E90"/>
    <w:rsid w:val="5BED0179"/>
    <w:rsid w:val="5BF33631"/>
    <w:rsid w:val="5BF901A7"/>
    <w:rsid w:val="5BFE7528"/>
    <w:rsid w:val="5C11166C"/>
    <w:rsid w:val="5C234621"/>
    <w:rsid w:val="5C261D1D"/>
    <w:rsid w:val="5C347001"/>
    <w:rsid w:val="5C40086C"/>
    <w:rsid w:val="5C403595"/>
    <w:rsid w:val="5C4B7D24"/>
    <w:rsid w:val="5C4F7FB1"/>
    <w:rsid w:val="5C626290"/>
    <w:rsid w:val="5C636FBD"/>
    <w:rsid w:val="5C7104BA"/>
    <w:rsid w:val="5C79079E"/>
    <w:rsid w:val="5C870A2F"/>
    <w:rsid w:val="5C916C39"/>
    <w:rsid w:val="5C9F7248"/>
    <w:rsid w:val="5CA75297"/>
    <w:rsid w:val="5CB61FF1"/>
    <w:rsid w:val="5CC55036"/>
    <w:rsid w:val="5CD757C5"/>
    <w:rsid w:val="5CDE7AE2"/>
    <w:rsid w:val="5CE93F58"/>
    <w:rsid w:val="5CF92995"/>
    <w:rsid w:val="5CFD599E"/>
    <w:rsid w:val="5D053877"/>
    <w:rsid w:val="5D0C0473"/>
    <w:rsid w:val="5D110B98"/>
    <w:rsid w:val="5D1867B3"/>
    <w:rsid w:val="5D2B4BD4"/>
    <w:rsid w:val="5D366ADE"/>
    <w:rsid w:val="5D3E3433"/>
    <w:rsid w:val="5D511C6F"/>
    <w:rsid w:val="5D825BFE"/>
    <w:rsid w:val="5D856FE2"/>
    <w:rsid w:val="5D886298"/>
    <w:rsid w:val="5D971224"/>
    <w:rsid w:val="5DAA7CD3"/>
    <w:rsid w:val="5DB75C63"/>
    <w:rsid w:val="5DB77683"/>
    <w:rsid w:val="5DB927E5"/>
    <w:rsid w:val="5DBB116A"/>
    <w:rsid w:val="5DC02570"/>
    <w:rsid w:val="5DC8518A"/>
    <w:rsid w:val="5DD46006"/>
    <w:rsid w:val="5DE639A0"/>
    <w:rsid w:val="5DE80203"/>
    <w:rsid w:val="5DE95C9B"/>
    <w:rsid w:val="5DEA5116"/>
    <w:rsid w:val="5DEC2729"/>
    <w:rsid w:val="5DEC56E9"/>
    <w:rsid w:val="5DEE1F81"/>
    <w:rsid w:val="5DF61EC4"/>
    <w:rsid w:val="5DFE163F"/>
    <w:rsid w:val="5DFF0486"/>
    <w:rsid w:val="5E057734"/>
    <w:rsid w:val="5E0D3ABF"/>
    <w:rsid w:val="5E1F525A"/>
    <w:rsid w:val="5E226A35"/>
    <w:rsid w:val="5E2467F1"/>
    <w:rsid w:val="5E276DC4"/>
    <w:rsid w:val="5E2B63FF"/>
    <w:rsid w:val="5E34060A"/>
    <w:rsid w:val="5E4B4C53"/>
    <w:rsid w:val="5E566FE3"/>
    <w:rsid w:val="5E6B55B4"/>
    <w:rsid w:val="5E6C7CB4"/>
    <w:rsid w:val="5E6D1966"/>
    <w:rsid w:val="5E782519"/>
    <w:rsid w:val="5E8A06E7"/>
    <w:rsid w:val="5E8B474F"/>
    <w:rsid w:val="5E8E2D19"/>
    <w:rsid w:val="5EA625FF"/>
    <w:rsid w:val="5EA8615A"/>
    <w:rsid w:val="5EAA5792"/>
    <w:rsid w:val="5EB133F7"/>
    <w:rsid w:val="5EC63CFF"/>
    <w:rsid w:val="5ED2273E"/>
    <w:rsid w:val="5EEB6964"/>
    <w:rsid w:val="5F056BCE"/>
    <w:rsid w:val="5F0669EB"/>
    <w:rsid w:val="5F0C276E"/>
    <w:rsid w:val="5F1A2B43"/>
    <w:rsid w:val="5F1A4709"/>
    <w:rsid w:val="5F314BA5"/>
    <w:rsid w:val="5F351142"/>
    <w:rsid w:val="5F4D1DA3"/>
    <w:rsid w:val="5F6F1CE8"/>
    <w:rsid w:val="5F714712"/>
    <w:rsid w:val="5F7B34DD"/>
    <w:rsid w:val="5F917795"/>
    <w:rsid w:val="5F9379E7"/>
    <w:rsid w:val="5F981AC7"/>
    <w:rsid w:val="5FA3386F"/>
    <w:rsid w:val="5FA82920"/>
    <w:rsid w:val="5FB837BB"/>
    <w:rsid w:val="5FC01D47"/>
    <w:rsid w:val="5FC25079"/>
    <w:rsid w:val="5FD904CA"/>
    <w:rsid w:val="5FE91F62"/>
    <w:rsid w:val="5FFD1E4D"/>
    <w:rsid w:val="60047E1C"/>
    <w:rsid w:val="600E48E1"/>
    <w:rsid w:val="6014105B"/>
    <w:rsid w:val="60144B5F"/>
    <w:rsid w:val="601B0AC9"/>
    <w:rsid w:val="602635D0"/>
    <w:rsid w:val="60305542"/>
    <w:rsid w:val="60336EB1"/>
    <w:rsid w:val="604C7292"/>
    <w:rsid w:val="605B4955"/>
    <w:rsid w:val="605D1DB0"/>
    <w:rsid w:val="608A7870"/>
    <w:rsid w:val="60901426"/>
    <w:rsid w:val="60B760E4"/>
    <w:rsid w:val="60CC405A"/>
    <w:rsid w:val="60E557C1"/>
    <w:rsid w:val="60F5199E"/>
    <w:rsid w:val="6115213C"/>
    <w:rsid w:val="61174F57"/>
    <w:rsid w:val="61203AEB"/>
    <w:rsid w:val="613D6747"/>
    <w:rsid w:val="617438CE"/>
    <w:rsid w:val="61865359"/>
    <w:rsid w:val="618F26E1"/>
    <w:rsid w:val="61E215D8"/>
    <w:rsid w:val="61F30E3B"/>
    <w:rsid w:val="61FA43EA"/>
    <w:rsid w:val="62116A5A"/>
    <w:rsid w:val="62195D56"/>
    <w:rsid w:val="621B3775"/>
    <w:rsid w:val="62364782"/>
    <w:rsid w:val="626C5489"/>
    <w:rsid w:val="628419F6"/>
    <w:rsid w:val="62A22292"/>
    <w:rsid w:val="62A72573"/>
    <w:rsid w:val="62D32BB7"/>
    <w:rsid w:val="62F26FF6"/>
    <w:rsid w:val="62F62A31"/>
    <w:rsid w:val="62FB46DE"/>
    <w:rsid w:val="6308066A"/>
    <w:rsid w:val="630C7D94"/>
    <w:rsid w:val="631A0BE6"/>
    <w:rsid w:val="63252366"/>
    <w:rsid w:val="63483B6F"/>
    <w:rsid w:val="63583301"/>
    <w:rsid w:val="63774BC4"/>
    <w:rsid w:val="6385649D"/>
    <w:rsid w:val="638E35DE"/>
    <w:rsid w:val="6394356A"/>
    <w:rsid w:val="6399038E"/>
    <w:rsid w:val="63AA01D1"/>
    <w:rsid w:val="63AA19D1"/>
    <w:rsid w:val="63AB0CFD"/>
    <w:rsid w:val="63AD6B3F"/>
    <w:rsid w:val="63AF28AA"/>
    <w:rsid w:val="63B9624A"/>
    <w:rsid w:val="63C515A8"/>
    <w:rsid w:val="63C61B2C"/>
    <w:rsid w:val="63C652EA"/>
    <w:rsid w:val="63D0523E"/>
    <w:rsid w:val="63D40BE9"/>
    <w:rsid w:val="63D81EDB"/>
    <w:rsid w:val="63E61EA7"/>
    <w:rsid w:val="63EC1599"/>
    <w:rsid w:val="63F55F74"/>
    <w:rsid w:val="64017B53"/>
    <w:rsid w:val="640C485D"/>
    <w:rsid w:val="64102431"/>
    <w:rsid w:val="64476A66"/>
    <w:rsid w:val="645C0756"/>
    <w:rsid w:val="647E4756"/>
    <w:rsid w:val="64863792"/>
    <w:rsid w:val="648D3909"/>
    <w:rsid w:val="64987561"/>
    <w:rsid w:val="64A5243A"/>
    <w:rsid w:val="64AF17D6"/>
    <w:rsid w:val="64BA5335"/>
    <w:rsid w:val="64C91FD0"/>
    <w:rsid w:val="64D31CCB"/>
    <w:rsid w:val="64DE01AD"/>
    <w:rsid w:val="64E13FEB"/>
    <w:rsid w:val="64EA7F13"/>
    <w:rsid w:val="64F531DE"/>
    <w:rsid w:val="64F53C04"/>
    <w:rsid w:val="650555E6"/>
    <w:rsid w:val="650C5C3C"/>
    <w:rsid w:val="65136DD6"/>
    <w:rsid w:val="651721FE"/>
    <w:rsid w:val="65373578"/>
    <w:rsid w:val="65483EF8"/>
    <w:rsid w:val="654A3C9A"/>
    <w:rsid w:val="65620F1F"/>
    <w:rsid w:val="65665B2C"/>
    <w:rsid w:val="6569524B"/>
    <w:rsid w:val="656F3C6D"/>
    <w:rsid w:val="6578172C"/>
    <w:rsid w:val="6595490C"/>
    <w:rsid w:val="659B7AE4"/>
    <w:rsid w:val="65A91BE5"/>
    <w:rsid w:val="65A96F15"/>
    <w:rsid w:val="65A974DB"/>
    <w:rsid w:val="65B03D81"/>
    <w:rsid w:val="65B22896"/>
    <w:rsid w:val="65C24698"/>
    <w:rsid w:val="661068D0"/>
    <w:rsid w:val="6619088A"/>
    <w:rsid w:val="661F0147"/>
    <w:rsid w:val="66275EFF"/>
    <w:rsid w:val="662E323E"/>
    <w:rsid w:val="662F06A3"/>
    <w:rsid w:val="66610F20"/>
    <w:rsid w:val="66741336"/>
    <w:rsid w:val="668764C5"/>
    <w:rsid w:val="6699385E"/>
    <w:rsid w:val="66AD1B4F"/>
    <w:rsid w:val="66B600AC"/>
    <w:rsid w:val="66C53E26"/>
    <w:rsid w:val="66C90C99"/>
    <w:rsid w:val="66D366A7"/>
    <w:rsid w:val="66E1301A"/>
    <w:rsid w:val="671F124A"/>
    <w:rsid w:val="671F480A"/>
    <w:rsid w:val="67310E3E"/>
    <w:rsid w:val="673C72F6"/>
    <w:rsid w:val="67632A4B"/>
    <w:rsid w:val="67653CAD"/>
    <w:rsid w:val="677A33C6"/>
    <w:rsid w:val="67846AF9"/>
    <w:rsid w:val="678C3789"/>
    <w:rsid w:val="6790379C"/>
    <w:rsid w:val="67976BF9"/>
    <w:rsid w:val="67A34A2B"/>
    <w:rsid w:val="67B23818"/>
    <w:rsid w:val="67B93769"/>
    <w:rsid w:val="67B97A69"/>
    <w:rsid w:val="67C61399"/>
    <w:rsid w:val="67D328A5"/>
    <w:rsid w:val="67DF230E"/>
    <w:rsid w:val="67EC0E9D"/>
    <w:rsid w:val="67FB3D57"/>
    <w:rsid w:val="67FD417C"/>
    <w:rsid w:val="681D3C93"/>
    <w:rsid w:val="681E444B"/>
    <w:rsid w:val="681F6961"/>
    <w:rsid w:val="682072BF"/>
    <w:rsid w:val="68332040"/>
    <w:rsid w:val="6843156C"/>
    <w:rsid w:val="684460EC"/>
    <w:rsid w:val="68534C47"/>
    <w:rsid w:val="68610A2F"/>
    <w:rsid w:val="6862000F"/>
    <w:rsid w:val="686D2A50"/>
    <w:rsid w:val="687A23C3"/>
    <w:rsid w:val="687D310D"/>
    <w:rsid w:val="68805514"/>
    <w:rsid w:val="68CB27CE"/>
    <w:rsid w:val="68E659AD"/>
    <w:rsid w:val="68E90FEC"/>
    <w:rsid w:val="68ED04EE"/>
    <w:rsid w:val="6912175E"/>
    <w:rsid w:val="691B6ABA"/>
    <w:rsid w:val="691E4011"/>
    <w:rsid w:val="69315350"/>
    <w:rsid w:val="69316E2F"/>
    <w:rsid w:val="693700B5"/>
    <w:rsid w:val="694E2071"/>
    <w:rsid w:val="695713C9"/>
    <w:rsid w:val="69584475"/>
    <w:rsid w:val="69641009"/>
    <w:rsid w:val="696616F9"/>
    <w:rsid w:val="69665637"/>
    <w:rsid w:val="696E4704"/>
    <w:rsid w:val="69766163"/>
    <w:rsid w:val="697A3B33"/>
    <w:rsid w:val="69800B64"/>
    <w:rsid w:val="69892294"/>
    <w:rsid w:val="698C5C8B"/>
    <w:rsid w:val="698D5B38"/>
    <w:rsid w:val="69950CCC"/>
    <w:rsid w:val="699E14F2"/>
    <w:rsid w:val="69B75273"/>
    <w:rsid w:val="69C23779"/>
    <w:rsid w:val="69D43E76"/>
    <w:rsid w:val="69D44760"/>
    <w:rsid w:val="69E24512"/>
    <w:rsid w:val="69F7373E"/>
    <w:rsid w:val="6A11072D"/>
    <w:rsid w:val="6A1A42DA"/>
    <w:rsid w:val="6A404CDE"/>
    <w:rsid w:val="6A520EC7"/>
    <w:rsid w:val="6A5B7FD1"/>
    <w:rsid w:val="6A600190"/>
    <w:rsid w:val="6A705EE8"/>
    <w:rsid w:val="6A7203F6"/>
    <w:rsid w:val="6A7378F6"/>
    <w:rsid w:val="6A7752B2"/>
    <w:rsid w:val="6A9E3688"/>
    <w:rsid w:val="6AA27FBF"/>
    <w:rsid w:val="6AA96CDA"/>
    <w:rsid w:val="6AB15850"/>
    <w:rsid w:val="6AB77289"/>
    <w:rsid w:val="6ACD37F4"/>
    <w:rsid w:val="6ACE78A8"/>
    <w:rsid w:val="6AD422CE"/>
    <w:rsid w:val="6AD442C7"/>
    <w:rsid w:val="6AD64DCB"/>
    <w:rsid w:val="6AE27E04"/>
    <w:rsid w:val="6AF05C99"/>
    <w:rsid w:val="6AF87E20"/>
    <w:rsid w:val="6AFB2AA8"/>
    <w:rsid w:val="6AFD7923"/>
    <w:rsid w:val="6B0965BB"/>
    <w:rsid w:val="6B132319"/>
    <w:rsid w:val="6B322639"/>
    <w:rsid w:val="6B421AA0"/>
    <w:rsid w:val="6B58263F"/>
    <w:rsid w:val="6B786699"/>
    <w:rsid w:val="6B881ED4"/>
    <w:rsid w:val="6B956DE8"/>
    <w:rsid w:val="6BB6573B"/>
    <w:rsid w:val="6BBF2FDE"/>
    <w:rsid w:val="6BC106B8"/>
    <w:rsid w:val="6BCD1EAE"/>
    <w:rsid w:val="6BD34AF4"/>
    <w:rsid w:val="6BD63891"/>
    <w:rsid w:val="6BD867B8"/>
    <w:rsid w:val="6BDC52E8"/>
    <w:rsid w:val="6BDC572B"/>
    <w:rsid w:val="6BDE73FE"/>
    <w:rsid w:val="6BFF7461"/>
    <w:rsid w:val="6C07764C"/>
    <w:rsid w:val="6C27283B"/>
    <w:rsid w:val="6C364270"/>
    <w:rsid w:val="6C3756F9"/>
    <w:rsid w:val="6C4D7510"/>
    <w:rsid w:val="6C4F27C3"/>
    <w:rsid w:val="6C5712CF"/>
    <w:rsid w:val="6C595B67"/>
    <w:rsid w:val="6C636C38"/>
    <w:rsid w:val="6C661CF1"/>
    <w:rsid w:val="6C677B39"/>
    <w:rsid w:val="6C6D4782"/>
    <w:rsid w:val="6C711E40"/>
    <w:rsid w:val="6C882453"/>
    <w:rsid w:val="6C9F244C"/>
    <w:rsid w:val="6CB411DA"/>
    <w:rsid w:val="6CB85BF8"/>
    <w:rsid w:val="6CC25A9C"/>
    <w:rsid w:val="6CD01CEF"/>
    <w:rsid w:val="6CE54A97"/>
    <w:rsid w:val="6CED3BD5"/>
    <w:rsid w:val="6CF61117"/>
    <w:rsid w:val="6CF66615"/>
    <w:rsid w:val="6CF9691A"/>
    <w:rsid w:val="6CFA4063"/>
    <w:rsid w:val="6CFC747E"/>
    <w:rsid w:val="6CFD72F4"/>
    <w:rsid w:val="6D0C6DEF"/>
    <w:rsid w:val="6D0D6620"/>
    <w:rsid w:val="6D1325D2"/>
    <w:rsid w:val="6D1E0DD9"/>
    <w:rsid w:val="6D375D68"/>
    <w:rsid w:val="6D3E5D3B"/>
    <w:rsid w:val="6D427166"/>
    <w:rsid w:val="6D8F5A33"/>
    <w:rsid w:val="6D9C51CA"/>
    <w:rsid w:val="6DA00C04"/>
    <w:rsid w:val="6DB34098"/>
    <w:rsid w:val="6DB545B6"/>
    <w:rsid w:val="6DB56102"/>
    <w:rsid w:val="6DC571E1"/>
    <w:rsid w:val="6DC5795B"/>
    <w:rsid w:val="6DD76BB0"/>
    <w:rsid w:val="6DDD108E"/>
    <w:rsid w:val="6DE02FB4"/>
    <w:rsid w:val="6DE43FDD"/>
    <w:rsid w:val="6E025EF4"/>
    <w:rsid w:val="6E0537C7"/>
    <w:rsid w:val="6E2A0B1F"/>
    <w:rsid w:val="6E372442"/>
    <w:rsid w:val="6E387AF7"/>
    <w:rsid w:val="6E456EBC"/>
    <w:rsid w:val="6E514CED"/>
    <w:rsid w:val="6E575096"/>
    <w:rsid w:val="6E5B4DF1"/>
    <w:rsid w:val="6E7F42D6"/>
    <w:rsid w:val="6E827F2F"/>
    <w:rsid w:val="6E8877D2"/>
    <w:rsid w:val="6E8F6D66"/>
    <w:rsid w:val="6EA21510"/>
    <w:rsid w:val="6EA614A4"/>
    <w:rsid w:val="6EB563D5"/>
    <w:rsid w:val="6EBD4A16"/>
    <w:rsid w:val="6ED65105"/>
    <w:rsid w:val="6ED92677"/>
    <w:rsid w:val="6EE96EA6"/>
    <w:rsid w:val="6EF910CC"/>
    <w:rsid w:val="6F08735F"/>
    <w:rsid w:val="6F096721"/>
    <w:rsid w:val="6F0A3684"/>
    <w:rsid w:val="6F1A7B96"/>
    <w:rsid w:val="6F225983"/>
    <w:rsid w:val="6F280352"/>
    <w:rsid w:val="6F301DBB"/>
    <w:rsid w:val="6F480728"/>
    <w:rsid w:val="6F58038B"/>
    <w:rsid w:val="6F682D84"/>
    <w:rsid w:val="6F722CAE"/>
    <w:rsid w:val="6F843CC6"/>
    <w:rsid w:val="6FA55DD3"/>
    <w:rsid w:val="6FA94285"/>
    <w:rsid w:val="6FA942B0"/>
    <w:rsid w:val="6FBB2FEE"/>
    <w:rsid w:val="6FC51B65"/>
    <w:rsid w:val="6FC64A83"/>
    <w:rsid w:val="6FF6382B"/>
    <w:rsid w:val="6FFC5590"/>
    <w:rsid w:val="70067ACF"/>
    <w:rsid w:val="7019691C"/>
    <w:rsid w:val="702C3F86"/>
    <w:rsid w:val="70366D04"/>
    <w:rsid w:val="70404B58"/>
    <w:rsid w:val="70473076"/>
    <w:rsid w:val="70480002"/>
    <w:rsid w:val="705C4192"/>
    <w:rsid w:val="70615BED"/>
    <w:rsid w:val="706D1DD0"/>
    <w:rsid w:val="70856B87"/>
    <w:rsid w:val="709E3CBF"/>
    <w:rsid w:val="70A855D7"/>
    <w:rsid w:val="70B77057"/>
    <w:rsid w:val="70D527EE"/>
    <w:rsid w:val="70E47904"/>
    <w:rsid w:val="70EE57FA"/>
    <w:rsid w:val="70F447C1"/>
    <w:rsid w:val="71003357"/>
    <w:rsid w:val="710F24F1"/>
    <w:rsid w:val="7113692B"/>
    <w:rsid w:val="711B0259"/>
    <w:rsid w:val="712769E2"/>
    <w:rsid w:val="712802A5"/>
    <w:rsid w:val="7130468F"/>
    <w:rsid w:val="71594AC0"/>
    <w:rsid w:val="715B106B"/>
    <w:rsid w:val="715B5300"/>
    <w:rsid w:val="715C2D2B"/>
    <w:rsid w:val="715E6045"/>
    <w:rsid w:val="715F67C5"/>
    <w:rsid w:val="7185317B"/>
    <w:rsid w:val="718825B1"/>
    <w:rsid w:val="71896057"/>
    <w:rsid w:val="718D6319"/>
    <w:rsid w:val="719121D5"/>
    <w:rsid w:val="71A6599F"/>
    <w:rsid w:val="71AA2595"/>
    <w:rsid w:val="71B12615"/>
    <w:rsid w:val="71BF28DF"/>
    <w:rsid w:val="71C86EF3"/>
    <w:rsid w:val="71D27F8A"/>
    <w:rsid w:val="71E354FD"/>
    <w:rsid w:val="71E41393"/>
    <w:rsid w:val="72184B96"/>
    <w:rsid w:val="721A470D"/>
    <w:rsid w:val="722A7D2A"/>
    <w:rsid w:val="72390803"/>
    <w:rsid w:val="723E2D7C"/>
    <w:rsid w:val="72553024"/>
    <w:rsid w:val="72657F49"/>
    <w:rsid w:val="726A7FEF"/>
    <w:rsid w:val="72805EF6"/>
    <w:rsid w:val="729011B1"/>
    <w:rsid w:val="72995B10"/>
    <w:rsid w:val="72A573FB"/>
    <w:rsid w:val="72B336A6"/>
    <w:rsid w:val="72B367D7"/>
    <w:rsid w:val="72BC51E0"/>
    <w:rsid w:val="72C6043E"/>
    <w:rsid w:val="72CA1D2E"/>
    <w:rsid w:val="72DB1710"/>
    <w:rsid w:val="72FD4B15"/>
    <w:rsid w:val="730B60D7"/>
    <w:rsid w:val="73122968"/>
    <w:rsid w:val="73124B52"/>
    <w:rsid w:val="73190A0B"/>
    <w:rsid w:val="731954BA"/>
    <w:rsid w:val="731F5D5E"/>
    <w:rsid w:val="73246455"/>
    <w:rsid w:val="732F05B3"/>
    <w:rsid w:val="73385839"/>
    <w:rsid w:val="734C01AA"/>
    <w:rsid w:val="73576EB0"/>
    <w:rsid w:val="73581311"/>
    <w:rsid w:val="737E4DA5"/>
    <w:rsid w:val="738276CA"/>
    <w:rsid w:val="738557BD"/>
    <w:rsid w:val="73BC6DA1"/>
    <w:rsid w:val="73C00C76"/>
    <w:rsid w:val="73C403FB"/>
    <w:rsid w:val="73C51AD5"/>
    <w:rsid w:val="73E157FE"/>
    <w:rsid w:val="73EC022B"/>
    <w:rsid w:val="73F7184C"/>
    <w:rsid w:val="73F9040F"/>
    <w:rsid w:val="73FF5B3F"/>
    <w:rsid w:val="74031C3C"/>
    <w:rsid w:val="741A753E"/>
    <w:rsid w:val="741D60A6"/>
    <w:rsid w:val="741E793C"/>
    <w:rsid w:val="74206B14"/>
    <w:rsid w:val="74244676"/>
    <w:rsid w:val="74515516"/>
    <w:rsid w:val="74550CD8"/>
    <w:rsid w:val="745B0501"/>
    <w:rsid w:val="745E3944"/>
    <w:rsid w:val="7477155E"/>
    <w:rsid w:val="747E79F0"/>
    <w:rsid w:val="748D6AED"/>
    <w:rsid w:val="749443C5"/>
    <w:rsid w:val="74966D31"/>
    <w:rsid w:val="74996BE5"/>
    <w:rsid w:val="749E5E62"/>
    <w:rsid w:val="74B26894"/>
    <w:rsid w:val="74C9315F"/>
    <w:rsid w:val="74E35EF1"/>
    <w:rsid w:val="74F72FCB"/>
    <w:rsid w:val="75024FFE"/>
    <w:rsid w:val="750803EE"/>
    <w:rsid w:val="751976B2"/>
    <w:rsid w:val="75241534"/>
    <w:rsid w:val="75350E03"/>
    <w:rsid w:val="754977E0"/>
    <w:rsid w:val="754E476A"/>
    <w:rsid w:val="756C381A"/>
    <w:rsid w:val="757B138B"/>
    <w:rsid w:val="757E3152"/>
    <w:rsid w:val="757F7C2B"/>
    <w:rsid w:val="75A42B09"/>
    <w:rsid w:val="75B9460C"/>
    <w:rsid w:val="75C33CCB"/>
    <w:rsid w:val="75DA3847"/>
    <w:rsid w:val="75E553C1"/>
    <w:rsid w:val="75ED0F5D"/>
    <w:rsid w:val="75FF2256"/>
    <w:rsid w:val="760C1AB7"/>
    <w:rsid w:val="761E73C8"/>
    <w:rsid w:val="76234A65"/>
    <w:rsid w:val="76292FFB"/>
    <w:rsid w:val="7635099D"/>
    <w:rsid w:val="763F0A67"/>
    <w:rsid w:val="763F478E"/>
    <w:rsid w:val="7640339F"/>
    <w:rsid w:val="76466F9D"/>
    <w:rsid w:val="765925C4"/>
    <w:rsid w:val="766A5AF2"/>
    <w:rsid w:val="76716B09"/>
    <w:rsid w:val="7672150B"/>
    <w:rsid w:val="76736826"/>
    <w:rsid w:val="767F1C52"/>
    <w:rsid w:val="76876A7B"/>
    <w:rsid w:val="768C77F2"/>
    <w:rsid w:val="76997137"/>
    <w:rsid w:val="76AA41F6"/>
    <w:rsid w:val="76AC01FE"/>
    <w:rsid w:val="76C13A84"/>
    <w:rsid w:val="76CE3382"/>
    <w:rsid w:val="76D20435"/>
    <w:rsid w:val="76E6744F"/>
    <w:rsid w:val="7705210C"/>
    <w:rsid w:val="77277772"/>
    <w:rsid w:val="773F5076"/>
    <w:rsid w:val="775D2C9B"/>
    <w:rsid w:val="776A2FAD"/>
    <w:rsid w:val="776D4B7E"/>
    <w:rsid w:val="77762421"/>
    <w:rsid w:val="77804891"/>
    <w:rsid w:val="7799027E"/>
    <w:rsid w:val="779C2232"/>
    <w:rsid w:val="77A55264"/>
    <w:rsid w:val="77A857A8"/>
    <w:rsid w:val="77B56B1F"/>
    <w:rsid w:val="77B935EB"/>
    <w:rsid w:val="77BA401D"/>
    <w:rsid w:val="77BB23EA"/>
    <w:rsid w:val="77DF6FFC"/>
    <w:rsid w:val="77F42076"/>
    <w:rsid w:val="77F450F8"/>
    <w:rsid w:val="77FD1A58"/>
    <w:rsid w:val="78047D70"/>
    <w:rsid w:val="780F09F4"/>
    <w:rsid w:val="78260A8F"/>
    <w:rsid w:val="783165DD"/>
    <w:rsid w:val="78366FDE"/>
    <w:rsid w:val="783E00B5"/>
    <w:rsid w:val="78675B3F"/>
    <w:rsid w:val="786A5F4E"/>
    <w:rsid w:val="7873637B"/>
    <w:rsid w:val="7874338F"/>
    <w:rsid w:val="78801FCB"/>
    <w:rsid w:val="78935AF2"/>
    <w:rsid w:val="78A90480"/>
    <w:rsid w:val="78B75152"/>
    <w:rsid w:val="78D110B3"/>
    <w:rsid w:val="78D86D0B"/>
    <w:rsid w:val="78F148F6"/>
    <w:rsid w:val="78F639A4"/>
    <w:rsid w:val="79000A29"/>
    <w:rsid w:val="7927099D"/>
    <w:rsid w:val="792A4CD4"/>
    <w:rsid w:val="79315D91"/>
    <w:rsid w:val="79560D66"/>
    <w:rsid w:val="795828BB"/>
    <w:rsid w:val="79594045"/>
    <w:rsid w:val="796332A7"/>
    <w:rsid w:val="79885097"/>
    <w:rsid w:val="798B7324"/>
    <w:rsid w:val="799A13CD"/>
    <w:rsid w:val="799C3038"/>
    <w:rsid w:val="799D1BDF"/>
    <w:rsid w:val="79A464A0"/>
    <w:rsid w:val="79B52A94"/>
    <w:rsid w:val="79E83171"/>
    <w:rsid w:val="79F25AA0"/>
    <w:rsid w:val="79F50C94"/>
    <w:rsid w:val="7A127BDF"/>
    <w:rsid w:val="7A2713CE"/>
    <w:rsid w:val="7A32572D"/>
    <w:rsid w:val="7A364017"/>
    <w:rsid w:val="7A376CDA"/>
    <w:rsid w:val="7A436E1D"/>
    <w:rsid w:val="7A490F49"/>
    <w:rsid w:val="7A5B00D7"/>
    <w:rsid w:val="7A5E311B"/>
    <w:rsid w:val="7A8265E1"/>
    <w:rsid w:val="7A861BB7"/>
    <w:rsid w:val="7A8B5AF8"/>
    <w:rsid w:val="7A9900D9"/>
    <w:rsid w:val="7AB466C5"/>
    <w:rsid w:val="7AC07A65"/>
    <w:rsid w:val="7B013999"/>
    <w:rsid w:val="7B0F1CD5"/>
    <w:rsid w:val="7B140308"/>
    <w:rsid w:val="7B165C7B"/>
    <w:rsid w:val="7B311940"/>
    <w:rsid w:val="7B463515"/>
    <w:rsid w:val="7B500471"/>
    <w:rsid w:val="7B627213"/>
    <w:rsid w:val="7B686D42"/>
    <w:rsid w:val="7B7B7AF4"/>
    <w:rsid w:val="7B841746"/>
    <w:rsid w:val="7B8C03FA"/>
    <w:rsid w:val="7BAB5475"/>
    <w:rsid w:val="7BAD72A8"/>
    <w:rsid w:val="7BC03E31"/>
    <w:rsid w:val="7BC638E0"/>
    <w:rsid w:val="7BE27117"/>
    <w:rsid w:val="7BF33BAB"/>
    <w:rsid w:val="7BFE21A8"/>
    <w:rsid w:val="7C1D561D"/>
    <w:rsid w:val="7C3A5B35"/>
    <w:rsid w:val="7C44767E"/>
    <w:rsid w:val="7C6C10A4"/>
    <w:rsid w:val="7C6C5AC7"/>
    <w:rsid w:val="7C757075"/>
    <w:rsid w:val="7C762CAE"/>
    <w:rsid w:val="7C8E7868"/>
    <w:rsid w:val="7C904A4C"/>
    <w:rsid w:val="7C99380D"/>
    <w:rsid w:val="7CB43653"/>
    <w:rsid w:val="7CC01C75"/>
    <w:rsid w:val="7CC6544B"/>
    <w:rsid w:val="7CC93B49"/>
    <w:rsid w:val="7CD70881"/>
    <w:rsid w:val="7CE22613"/>
    <w:rsid w:val="7CEA797B"/>
    <w:rsid w:val="7D0239FF"/>
    <w:rsid w:val="7D0F7718"/>
    <w:rsid w:val="7D121BD5"/>
    <w:rsid w:val="7D1A2A76"/>
    <w:rsid w:val="7D30403E"/>
    <w:rsid w:val="7D320C90"/>
    <w:rsid w:val="7D3624FD"/>
    <w:rsid w:val="7D4F2979"/>
    <w:rsid w:val="7D550E47"/>
    <w:rsid w:val="7D5E40CD"/>
    <w:rsid w:val="7D69269F"/>
    <w:rsid w:val="7D7633E7"/>
    <w:rsid w:val="7D842785"/>
    <w:rsid w:val="7D85269C"/>
    <w:rsid w:val="7D8D0BAF"/>
    <w:rsid w:val="7D9A42A8"/>
    <w:rsid w:val="7D9E7B5E"/>
    <w:rsid w:val="7D9F2331"/>
    <w:rsid w:val="7DA50D59"/>
    <w:rsid w:val="7DB572C6"/>
    <w:rsid w:val="7DCD56F2"/>
    <w:rsid w:val="7DDC775C"/>
    <w:rsid w:val="7DDE2BDC"/>
    <w:rsid w:val="7DE74814"/>
    <w:rsid w:val="7DE80BA5"/>
    <w:rsid w:val="7DFC3A13"/>
    <w:rsid w:val="7E001542"/>
    <w:rsid w:val="7E0D7B30"/>
    <w:rsid w:val="7E2B221F"/>
    <w:rsid w:val="7E2E31A2"/>
    <w:rsid w:val="7E3A41F5"/>
    <w:rsid w:val="7E436D3E"/>
    <w:rsid w:val="7E486E12"/>
    <w:rsid w:val="7E4D702B"/>
    <w:rsid w:val="7E55240E"/>
    <w:rsid w:val="7E586FE8"/>
    <w:rsid w:val="7E5D5859"/>
    <w:rsid w:val="7E82645A"/>
    <w:rsid w:val="7E8700D6"/>
    <w:rsid w:val="7E9435FF"/>
    <w:rsid w:val="7EA0185D"/>
    <w:rsid w:val="7EA3528D"/>
    <w:rsid w:val="7EA85E18"/>
    <w:rsid w:val="7EC15392"/>
    <w:rsid w:val="7EC6665A"/>
    <w:rsid w:val="7ED659A3"/>
    <w:rsid w:val="7EF82231"/>
    <w:rsid w:val="7EFD0E2B"/>
    <w:rsid w:val="7F001CE7"/>
    <w:rsid w:val="7F040119"/>
    <w:rsid w:val="7F0974E0"/>
    <w:rsid w:val="7F0C753E"/>
    <w:rsid w:val="7F1A7509"/>
    <w:rsid w:val="7F340FB9"/>
    <w:rsid w:val="7F3472C8"/>
    <w:rsid w:val="7F35517A"/>
    <w:rsid w:val="7F48712D"/>
    <w:rsid w:val="7F4D1E28"/>
    <w:rsid w:val="7F51299A"/>
    <w:rsid w:val="7F883F5E"/>
    <w:rsid w:val="7F901975"/>
    <w:rsid w:val="7F90798D"/>
    <w:rsid w:val="7F910835"/>
    <w:rsid w:val="7F9247B2"/>
    <w:rsid w:val="7F986410"/>
    <w:rsid w:val="7F9A54E4"/>
    <w:rsid w:val="7FA11C88"/>
    <w:rsid w:val="7FA4080D"/>
    <w:rsid w:val="7FB62D1B"/>
    <w:rsid w:val="7FBC47DE"/>
    <w:rsid w:val="7FBD1962"/>
    <w:rsid w:val="7FD4331B"/>
    <w:rsid w:val="7FDD7C96"/>
    <w:rsid w:val="7FDE4DB9"/>
    <w:rsid w:val="7FE47E50"/>
    <w:rsid w:val="7FEA4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9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4"/>
    <w:next w:val="1"/>
    <w:autoRedefine/>
    <w:qFormat/>
    <w:locked/>
    <w:uiPriority w:val="0"/>
    <w:pPr>
      <w:keepLines/>
      <w:spacing w:before="260" w:after="260" w:line="415" w:lineRule="auto"/>
      <w:ind w:firstLine="200" w:firstLineChars="200"/>
      <w:outlineLvl w:val="1"/>
    </w:pPr>
    <w:rPr>
      <w:rFonts w:ascii="Arial" w:hAnsi="Arial"/>
      <w:b w:val="0"/>
      <w:bCs w:val="0"/>
      <w:sz w:val="32"/>
      <w:szCs w:val="32"/>
    </w:rPr>
  </w:style>
  <w:style w:type="paragraph" w:styleId="6">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next w:val="1"/>
    <w:autoRedefine/>
    <w:qFormat/>
    <w:locked/>
    <w:uiPriority w:val="0"/>
    <w:pPr>
      <w:spacing w:after="120" w:line="240" w:lineRule="auto"/>
      <w:ind w:firstLine="420" w:firstLineChars="100"/>
    </w:pPr>
    <w:rPr>
      <w:sz w:val="21"/>
    </w:rPr>
  </w:style>
  <w:style w:type="paragraph" w:styleId="3">
    <w:name w:val="Body Text"/>
    <w:basedOn w:val="1"/>
    <w:next w:val="1"/>
    <w:link w:val="26"/>
    <w:autoRedefine/>
    <w:qFormat/>
    <w:uiPriority w:val="0"/>
    <w:pPr>
      <w:widowControl/>
      <w:snapToGrid w:val="0"/>
      <w:spacing w:before="60" w:after="160" w:line="259" w:lineRule="auto"/>
      <w:ind w:right="113"/>
    </w:pPr>
    <w:rPr>
      <w:kern w:val="0"/>
      <w:sz w:val="18"/>
      <w:szCs w:val="20"/>
    </w:rPr>
  </w:style>
  <w:style w:type="paragraph" w:styleId="7">
    <w:name w:val="Normal Indent"/>
    <w:basedOn w:val="1"/>
    <w:autoRedefine/>
    <w:unhideWhenUsed/>
    <w:qFormat/>
    <w:locked/>
    <w:uiPriority w:val="0"/>
    <w:pPr>
      <w:ind w:firstLine="420"/>
    </w:pPr>
  </w:style>
  <w:style w:type="paragraph" w:styleId="8">
    <w:name w:val="annotation text"/>
    <w:basedOn w:val="1"/>
    <w:link w:val="27"/>
    <w:autoRedefine/>
    <w:semiHidden/>
    <w:qFormat/>
    <w:uiPriority w:val="0"/>
    <w:pPr>
      <w:jc w:val="left"/>
    </w:pPr>
    <w:rPr>
      <w:kern w:val="0"/>
      <w:sz w:val="24"/>
      <w:szCs w:val="20"/>
    </w:rPr>
  </w:style>
  <w:style w:type="paragraph" w:styleId="9">
    <w:name w:val="Body Text Indent"/>
    <w:basedOn w:val="1"/>
    <w:link w:val="28"/>
    <w:autoRedefine/>
    <w:qFormat/>
    <w:uiPriority w:val="0"/>
    <w:pPr>
      <w:spacing w:after="120"/>
      <w:ind w:left="420" w:leftChars="200"/>
    </w:pPr>
    <w:rPr>
      <w:kern w:val="0"/>
      <w:sz w:val="24"/>
      <w:szCs w:val="20"/>
    </w:rPr>
  </w:style>
  <w:style w:type="paragraph" w:styleId="10">
    <w:name w:val="List Bullet 5"/>
    <w:basedOn w:val="1"/>
    <w:autoRedefine/>
    <w:qFormat/>
    <w:locked/>
    <w:uiPriority w:val="0"/>
    <w:pPr>
      <w:numPr>
        <w:ilvl w:val="0"/>
        <w:numId w:val="1"/>
      </w:numPr>
    </w:pPr>
  </w:style>
  <w:style w:type="paragraph" w:styleId="11">
    <w:name w:val="Date"/>
    <w:basedOn w:val="1"/>
    <w:next w:val="1"/>
    <w:link w:val="29"/>
    <w:autoRedefine/>
    <w:qFormat/>
    <w:uiPriority w:val="0"/>
    <w:pPr>
      <w:ind w:left="100" w:leftChars="2500"/>
    </w:pPr>
    <w:rPr>
      <w:kern w:val="0"/>
      <w:sz w:val="24"/>
      <w:szCs w:val="20"/>
    </w:rPr>
  </w:style>
  <w:style w:type="paragraph" w:styleId="12">
    <w:name w:val="Balloon Text"/>
    <w:basedOn w:val="1"/>
    <w:link w:val="30"/>
    <w:autoRedefine/>
    <w:semiHidden/>
    <w:qFormat/>
    <w:uiPriority w:val="0"/>
    <w:rPr>
      <w:kern w:val="0"/>
      <w:sz w:val="18"/>
      <w:szCs w:val="20"/>
    </w:rPr>
  </w:style>
  <w:style w:type="paragraph" w:styleId="13">
    <w:name w:val="footer"/>
    <w:basedOn w:val="1"/>
    <w:link w:val="31"/>
    <w:autoRedefine/>
    <w:qFormat/>
    <w:uiPriority w:val="99"/>
    <w:pPr>
      <w:tabs>
        <w:tab w:val="center" w:pos="4153"/>
        <w:tab w:val="right" w:pos="8306"/>
      </w:tabs>
      <w:snapToGrid w:val="0"/>
      <w:jc w:val="left"/>
    </w:pPr>
    <w:rPr>
      <w:kern w:val="0"/>
      <w:sz w:val="18"/>
      <w:szCs w:val="20"/>
    </w:rPr>
  </w:style>
  <w:style w:type="paragraph" w:styleId="14">
    <w:name w:val="header"/>
    <w:basedOn w:val="1"/>
    <w:link w:val="32"/>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15">
    <w:name w:val="toc 1"/>
    <w:basedOn w:val="1"/>
    <w:next w:val="1"/>
    <w:autoRedefine/>
    <w:qFormat/>
    <w:locked/>
    <w:uiPriority w:val="0"/>
  </w:style>
  <w:style w:type="paragraph" w:styleId="16">
    <w:name w:val="Subtitle"/>
    <w:basedOn w:val="1"/>
    <w:next w:val="1"/>
    <w:autoRedefine/>
    <w:qFormat/>
    <w:locked/>
    <w:uiPriority w:val="0"/>
    <w:pPr>
      <w:spacing w:line="360" w:lineRule="auto"/>
      <w:ind w:firstLine="200" w:firstLineChars="200"/>
      <w:jc w:val="left"/>
    </w:pPr>
    <w:rPr>
      <w:b/>
      <w:bCs/>
      <w:kern w:val="28"/>
      <w:sz w:val="24"/>
      <w:szCs w:val="32"/>
    </w:rPr>
  </w:style>
  <w:style w:type="paragraph" w:styleId="17">
    <w:name w:val="Normal (Web)"/>
    <w:basedOn w:val="1"/>
    <w:link w:val="33"/>
    <w:autoRedefine/>
    <w:qFormat/>
    <w:uiPriority w:val="99"/>
    <w:pPr>
      <w:widowControl/>
      <w:spacing w:before="100" w:beforeAutospacing="1" w:after="100" w:afterAutospacing="1"/>
      <w:jc w:val="left"/>
    </w:pPr>
    <w:rPr>
      <w:rFonts w:ascii="宋体" w:hAnsi="宋体"/>
      <w:kern w:val="0"/>
      <w:sz w:val="24"/>
      <w:szCs w:val="20"/>
    </w:rPr>
  </w:style>
  <w:style w:type="paragraph" w:styleId="18">
    <w:name w:val="annotation subject"/>
    <w:basedOn w:val="8"/>
    <w:next w:val="8"/>
    <w:link w:val="34"/>
    <w:autoRedefine/>
    <w:semiHidden/>
    <w:qFormat/>
    <w:uiPriority w:val="0"/>
    <w:rPr>
      <w:b/>
    </w:rPr>
  </w:style>
  <w:style w:type="paragraph" w:styleId="19">
    <w:name w:val="Body Text First Indent 2"/>
    <w:basedOn w:val="9"/>
    <w:next w:val="2"/>
    <w:autoRedefine/>
    <w:qFormat/>
    <w:locked/>
    <w:uiPriority w:val="0"/>
    <w:pPr>
      <w:ind w:firstLine="420" w:firstLineChars="200"/>
    </w:pPr>
    <w:rPr>
      <w:sz w:val="21"/>
    </w:rPr>
  </w:style>
  <w:style w:type="table" w:styleId="21">
    <w:name w:val="Table Grid"/>
    <w:basedOn w:val="20"/>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autoRedefine/>
    <w:qFormat/>
    <w:locked/>
    <w:uiPriority w:val="0"/>
  </w:style>
  <w:style w:type="character" w:styleId="24">
    <w:name w:val="Hyperlink"/>
    <w:autoRedefine/>
    <w:qFormat/>
    <w:locked/>
    <w:uiPriority w:val="99"/>
    <w:rPr>
      <w:color w:val="0000FF"/>
      <w:u w:val="single"/>
    </w:rPr>
  </w:style>
  <w:style w:type="character" w:styleId="25">
    <w:name w:val="annotation reference"/>
    <w:autoRedefine/>
    <w:semiHidden/>
    <w:qFormat/>
    <w:uiPriority w:val="0"/>
    <w:rPr>
      <w:sz w:val="21"/>
    </w:rPr>
  </w:style>
  <w:style w:type="character" w:customStyle="1" w:styleId="26">
    <w:name w:val="正文文本 Char"/>
    <w:link w:val="3"/>
    <w:autoRedefine/>
    <w:qFormat/>
    <w:locked/>
    <w:uiPriority w:val="0"/>
    <w:rPr>
      <w:sz w:val="18"/>
    </w:rPr>
  </w:style>
  <w:style w:type="character" w:customStyle="1" w:styleId="27">
    <w:name w:val="批注文字 Char"/>
    <w:link w:val="8"/>
    <w:autoRedefine/>
    <w:qFormat/>
    <w:locked/>
    <w:uiPriority w:val="0"/>
    <w:rPr>
      <w:rFonts w:ascii="Times New Roman" w:hAnsi="Times New Roman" w:eastAsia="宋体"/>
      <w:sz w:val="24"/>
    </w:rPr>
  </w:style>
  <w:style w:type="character" w:customStyle="1" w:styleId="28">
    <w:name w:val="正文文本缩进 Char"/>
    <w:link w:val="9"/>
    <w:autoRedefine/>
    <w:semiHidden/>
    <w:qFormat/>
    <w:locked/>
    <w:uiPriority w:val="0"/>
    <w:rPr>
      <w:rFonts w:ascii="Times New Roman" w:hAnsi="Times New Roman" w:eastAsia="宋体"/>
      <w:sz w:val="24"/>
    </w:rPr>
  </w:style>
  <w:style w:type="character" w:customStyle="1" w:styleId="29">
    <w:name w:val="日期 Char"/>
    <w:link w:val="11"/>
    <w:autoRedefine/>
    <w:qFormat/>
    <w:locked/>
    <w:uiPriority w:val="0"/>
    <w:rPr>
      <w:rFonts w:ascii="Times New Roman" w:hAnsi="Times New Roman" w:eastAsia="宋体"/>
      <w:sz w:val="24"/>
    </w:rPr>
  </w:style>
  <w:style w:type="character" w:customStyle="1" w:styleId="30">
    <w:name w:val="批注框文本 Char"/>
    <w:link w:val="12"/>
    <w:autoRedefine/>
    <w:semiHidden/>
    <w:qFormat/>
    <w:locked/>
    <w:uiPriority w:val="0"/>
    <w:rPr>
      <w:rFonts w:ascii="Times New Roman" w:hAnsi="Times New Roman" w:eastAsia="宋体"/>
      <w:sz w:val="18"/>
    </w:rPr>
  </w:style>
  <w:style w:type="character" w:customStyle="1" w:styleId="31">
    <w:name w:val="页脚 Char"/>
    <w:link w:val="13"/>
    <w:autoRedefine/>
    <w:qFormat/>
    <w:locked/>
    <w:uiPriority w:val="99"/>
    <w:rPr>
      <w:sz w:val="18"/>
    </w:rPr>
  </w:style>
  <w:style w:type="character" w:customStyle="1" w:styleId="32">
    <w:name w:val="页眉 Char"/>
    <w:link w:val="14"/>
    <w:autoRedefine/>
    <w:qFormat/>
    <w:locked/>
    <w:uiPriority w:val="0"/>
    <w:rPr>
      <w:sz w:val="18"/>
    </w:rPr>
  </w:style>
  <w:style w:type="character" w:customStyle="1" w:styleId="33">
    <w:name w:val="普通(网站) Char"/>
    <w:link w:val="17"/>
    <w:autoRedefine/>
    <w:qFormat/>
    <w:locked/>
    <w:uiPriority w:val="0"/>
    <w:rPr>
      <w:rFonts w:ascii="宋体" w:hAnsi="宋体" w:eastAsia="宋体"/>
      <w:sz w:val="24"/>
    </w:rPr>
  </w:style>
  <w:style w:type="character" w:customStyle="1" w:styleId="34">
    <w:name w:val="批注主题 Char"/>
    <w:link w:val="18"/>
    <w:autoRedefine/>
    <w:semiHidden/>
    <w:qFormat/>
    <w:locked/>
    <w:uiPriority w:val="0"/>
    <w:rPr>
      <w:rFonts w:ascii="Times New Roman" w:hAnsi="Times New Roman" w:eastAsia="宋体"/>
      <w:b/>
      <w:kern w:val="2"/>
      <w:sz w:val="24"/>
    </w:rPr>
  </w:style>
  <w:style w:type="character" w:customStyle="1" w:styleId="35">
    <w:name w:val="页脚 字符"/>
    <w:autoRedefine/>
    <w:qFormat/>
    <w:uiPriority w:val="99"/>
  </w:style>
  <w:style w:type="character" w:customStyle="1" w:styleId="36">
    <w:name w:val="批注文字 字符1"/>
    <w:autoRedefine/>
    <w:semiHidden/>
    <w:qFormat/>
    <w:uiPriority w:val="0"/>
    <w:rPr>
      <w:rFonts w:ascii="Times New Roman" w:hAnsi="Times New Roman" w:eastAsia="宋体"/>
      <w:sz w:val="24"/>
    </w:rPr>
  </w:style>
  <w:style w:type="character" w:customStyle="1" w:styleId="37">
    <w:name w:val="表格 Char"/>
    <w:link w:val="38"/>
    <w:autoRedefine/>
    <w:qFormat/>
    <w:locked/>
    <w:uiPriority w:val="0"/>
    <w:rPr>
      <w:rFonts w:ascii="宋体"/>
      <w:sz w:val="21"/>
    </w:rPr>
  </w:style>
  <w:style w:type="paragraph" w:customStyle="1" w:styleId="38">
    <w:name w:val="表格"/>
    <w:basedOn w:val="39"/>
    <w:next w:val="1"/>
    <w:link w:val="37"/>
    <w:autoRedefine/>
    <w:qFormat/>
    <w:uiPriority w:val="0"/>
    <w:pPr>
      <w:snapToGrid w:val="0"/>
      <w:spacing w:beforeLines="10" w:afterLines="10" w:line="259" w:lineRule="auto"/>
    </w:pPr>
    <w:rPr>
      <w:rFonts w:ascii="宋体"/>
      <w:kern w:val="0"/>
      <w:szCs w:val="20"/>
    </w:rPr>
  </w:style>
  <w:style w:type="paragraph" w:customStyle="1" w:styleId="39">
    <w:name w:val="表头"/>
    <w:basedOn w:val="7"/>
    <w:next w:val="1"/>
    <w:autoRedefine/>
    <w:qFormat/>
    <w:uiPriority w:val="0"/>
    <w:pPr>
      <w:adjustRightInd w:val="0"/>
      <w:spacing w:line="320" w:lineRule="atLeast"/>
      <w:jc w:val="center"/>
      <w:textAlignment w:val="baseline"/>
    </w:pPr>
    <w:rPr>
      <w:rFonts w:eastAsia="黑体"/>
      <w:spacing w:val="-10"/>
    </w:rPr>
  </w:style>
  <w:style w:type="character" w:customStyle="1" w:styleId="40">
    <w:name w:val="日期 字符"/>
    <w:autoRedefine/>
    <w:semiHidden/>
    <w:qFormat/>
    <w:uiPriority w:val="0"/>
    <w:rPr>
      <w:rFonts w:ascii="Times New Roman" w:hAnsi="Times New Roman" w:eastAsia="宋体"/>
      <w:sz w:val="24"/>
    </w:rPr>
  </w:style>
  <w:style w:type="character" w:customStyle="1" w:styleId="41">
    <w:name w:val="font11"/>
    <w:autoRedefine/>
    <w:qFormat/>
    <w:uiPriority w:val="0"/>
    <w:rPr>
      <w:rFonts w:hint="eastAsia" w:ascii="宋体" w:hAnsi="宋体" w:eastAsia="宋体" w:cs="宋体"/>
      <w:color w:val="000000"/>
      <w:sz w:val="18"/>
      <w:szCs w:val="18"/>
      <w:u w:val="none"/>
    </w:rPr>
  </w:style>
  <w:style w:type="character" w:customStyle="1" w:styleId="42">
    <w:name w:val="_Style 5"/>
    <w:autoRedefine/>
    <w:qFormat/>
    <w:uiPriority w:val="31"/>
    <w:rPr>
      <w:smallCaps/>
      <w:color w:val="C0504D"/>
      <w:u w:val="single"/>
    </w:rPr>
  </w:style>
  <w:style w:type="character" w:customStyle="1" w:styleId="43">
    <w:name w:val="font31"/>
    <w:autoRedefine/>
    <w:qFormat/>
    <w:uiPriority w:val="0"/>
    <w:rPr>
      <w:rFonts w:hint="eastAsia" w:ascii="宋体" w:hAnsi="宋体" w:eastAsia="宋体" w:cs="宋体"/>
      <w:color w:val="000000"/>
      <w:sz w:val="24"/>
      <w:szCs w:val="24"/>
      <w:u w:val="none"/>
    </w:rPr>
  </w:style>
  <w:style w:type="character" w:customStyle="1" w:styleId="44">
    <w:name w:val="font21"/>
    <w:autoRedefine/>
    <w:qFormat/>
    <w:uiPriority w:val="0"/>
    <w:rPr>
      <w:rFonts w:hint="eastAsia" w:ascii="宋体" w:hAnsi="宋体" w:eastAsia="宋体" w:cs="宋体"/>
      <w:color w:val="000000"/>
      <w:sz w:val="21"/>
      <w:szCs w:val="21"/>
      <w:u w:val="none"/>
    </w:rPr>
  </w:style>
  <w:style w:type="character" w:customStyle="1" w:styleId="45">
    <w:name w:val="正文文本 字符1"/>
    <w:autoRedefine/>
    <w:semiHidden/>
    <w:qFormat/>
    <w:uiPriority w:val="0"/>
    <w:rPr>
      <w:rFonts w:ascii="Times New Roman" w:hAnsi="Times New Roman" w:eastAsia="宋体"/>
      <w:sz w:val="24"/>
    </w:rPr>
  </w:style>
  <w:style w:type="paragraph" w:customStyle="1" w:styleId="46">
    <w:name w:val="xl27"/>
    <w:basedOn w:val="1"/>
    <w:autoRedefine/>
    <w:qFormat/>
    <w:uiPriority w:val="0"/>
    <w:pPr>
      <w:widowControl/>
      <w:pBdr>
        <w:bottom w:val="single" w:color="auto" w:sz="12" w:space="0"/>
      </w:pBdr>
      <w:spacing w:before="100" w:after="100"/>
      <w:jc w:val="center"/>
    </w:pPr>
    <w:rPr>
      <w:rFonts w:ascii="宋体" w:hAnsi="宋体"/>
      <w:kern w:val="0"/>
      <w:szCs w:val="20"/>
    </w:rPr>
  </w:style>
  <w:style w:type="paragraph" w:styleId="47">
    <w:name w:val="List Paragraph"/>
    <w:basedOn w:val="1"/>
    <w:autoRedefine/>
    <w:qFormat/>
    <w:uiPriority w:val="34"/>
    <w:pPr>
      <w:ind w:firstLine="420" w:firstLineChars="200"/>
    </w:pPr>
  </w:style>
  <w:style w:type="paragraph" w:customStyle="1" w:styleId="48">
    <w:name w:val="表格字体"/>
    <w:next w:val="1"/>
    <w:autoRedefine/>
    <w:qFormat/>
    <w:uiPriority w:val="0"/>
    <w:pPr>
      <w:adjustRightInd w:val="0"/>
      <w:snapToGrid w:val="0"/>
      <w:spacing w:before="20" w:beforeLines="20" w:after="20" w:afterLines="20"/>
      <w:ind w:right="2" w:rightChars="1"/>
      <w:jc w:val="center"/>
    </w:pPr>
    <w:rPr>
      <w:rFonts w:ascii="Times New Roman" w:hAnsi="Times New Roman" w:eastAsia="宋体" w:cs="Times New Roman"/>
      <w:bCs/>
      <w:sz w:val="21"/>
      <w:szCs w:val="21"/>
      <w:lang w:val="zh-CN" w:eastAsia="zh-CN" w:bidi="ar-SA"/>
    </w:rPr>
  </w:style>
  <w:style w:type="paragraph" w:customStyle="1" w:styleId="49">
    <w:name w:val="表格文字"/>
    <w:basedOn w:val="3"/>
    <w:next w:val="1"/>
    <w:autoRedefine/>
    <w:qFormat/>
    <w:uiPriority w:val="0"/>
    <w:pPr>
      <w:jc w:val="center"/>
    </w:pPr>
    <w:rPr>
      <w:rFonts w:ascii="仿宋_GB2312" w:hAnsi="Arial Black" w:eastAsia="仿宋_GB2312"/>
      <w:kern w:val="44"/>
      <w:sz w:val="24"/>
    </w:rPr>
  </w:style>
  <w:style w:type="paragraph" w:customStyle="1" w:styleId="50">
    <w:name w:val="表格靠前"/>
    <w:basedOn w:val="51"/>
    <w:autoRedefine/>
    <w:qFormat/>
    <w:uiPriority w:val="0"/>
    <w:pPr>
      <w:jc w:val="left"/>
    </w:pPr>
  </w:style>
  <w:style w:type="paragraph" w:customStyle="1" w:styleId="51">
    <w:name w:val="表格居中"/>
    <w:autoRedefine/>
    <w:qFormat/>
    <w:uiPriority w:val="0"/>
    <w:pPr>
      <w:jc w:val="center"/>
    </w:pPr>
    <w:rPr>
      <w:rFonts w:ascii="Times New Roman" w:hAnsi="Times New Roman" w:eastAsia="宋体" w:cs="Times New Roman"/>
      <w:kern w:val="2"/>
      <w:sz w:val="24"/>
      <w:szCs w:val="24"/>
      <w:lang w:val="en-US" w:eastAsia="zh-CN" w:bidi="ar-SA"/>
    </w:rPr>
  </w:style>
  <w:style w:type="paragraph" w:customStyle="1" w:styleId="52">
    <w:name w:val="正文1"/>
    <w:autoRedefine/>
    <w:qFormat/>
    <w:uiPriority w:val="0"/>
    <w:pPr>
      <w:jc w:val="both"/>
    </w:pPr>
    <w:rPr>
      <w:rFonts w:ascii="Calibri" w:hAnsi="Calibri" w:eastAsia="宋体" w:cs="Calibri"/>
      <w:kern w:val="2"/>
      <w:sz w:val="21"/>
      <w:szCs w:val="21"/>
      <w:lang w:val="en-US" w:eastAsia="zh-CN" w:bidi="ar-SA"/>
    </w:rPr>
  </w:style>
  <w:style w:type="paragraph" w:customStyle="1" w:styleId="53">
    <w:name w:val="字元"/>
    <w:basedOn w:val="1"/>
    <w:autoRedefine/>
    <w:qFormat/>
    <w:uiPriority w:val="0"/>
    <w:rPr>
      <w:sz w:val="24"/>
    </w:rPr>
  </w:style>
  <w:style w:type="paragraph" w:customStyle="1" w:styleId="54">
    <w:name w:val="表格标题"/>
    <w:basedOn w:val="51"/>
    <w:autoRedefine/>
    <w:qFormat/>
    <w:uiPriority w:val="0"/>
    <w:pPr>
      <w:snapToGrid w:val="0"/>
    </w:pPr>
    <w:rPr>
      <w:b/>
    </w:rPr>
  </w:style>
  <w:style w:type="paragraph" w:customStyle="1" w:styleId="55">
    <w:name w:val="小表格标题（表标题样式）"/>
    <w:basedOn w:val="1"/>
    <w:autoRedefine/>
    <w:qFormat/>
    <w:uiPriority w:val="0"/>
    <w:pPr>
      <w:spacing w:before="60"/>
      <w:jc w:val="center"/>
    </w:pPr>
    <w:rPr>
      <w:b/>
      <w:bCs/>
    </w:rPr>
  </w:style>
  <w:style w:type="paragraph" w:customStyle="1" w:styleId="56">
    <w:name w:val="Default"/>
    <w:next w:val="1"/>
    <w:autoRedefine/>
    <w:unhideWhenUsed/>
    <w:qFormat/>
    <w:uiPriority w:val="0"/>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57">
    <w:name w:val="正文11"/>
    <w:autoRedefine/>
    <w:qFormat/>
    <w:uiPriority w:val="0"/>
    <w:pPr>
      <w:jc w:val="both"/>
    </w:pPr>
    <w:rPr>
      <w:rFonts w:ascii="Times New Roman" w:hAnsi="Times New Roman" w:eastAsia="宋体" w:cs="Calibri"/>
      <w:kern w:val="2"/>
      <w:sz w:val="24"/>
      <w:szCs w:val="21"/>
      <w:lang w:val="en-US" w:eastAsia="zh-CN" w:bidi="ar-SA"/>
    </w:rPr>
  </w:style>
  <w:style w:type="paragraph" w:customStyle="1" w:styleId="58">
    <w:name w:val="表格图文"/>
    <w:basedOn w:val="59"/>
    <w:autoRedefine/>
    <w:qFormat/>
    <w:uiPriority w:val="0"/>
    <w:pPr>
      <w:snapToGrid w:val="0"/>
    </w:pPr>
    <w:rPr>
      <w:szCs w:val="24"/>
    </w:rPr>
  </w:style>
  <w:style w:type="paragraph" w:customStyle="1" w:styleId="59">
    <w:name w:val="表格图文样式"/>
    <w:basedOn w:val="1"/>
    <w:autoRedefine/>
    <w:qFormat/>
    <w:uiPriority w:val="0"/>
    <w:pPr>
      <w:jc w:val="center"/>
    </w:pPr>
    <w:rPr>
      <w:bCs/>
      <w:color w:val="000000"/>
      <w:szCs w:val="21"/>
    </w:rPr>
  </w:style>
  <w:style w:type="paragraph" w:customStyle="1" w:styleId="60">
    <w:name w:val="表格及图件标题"/>
    <w:basedOn w:val="1"/>
    <w:next w:val="1"/>
    <w:autoRedefine/>
    <w:qFormat/>
    <w:uiPriority w:val="0"/>
    <w:pPr>
      <w:jc w:val="center"/>
    </w:pPr>
    <w:rPr>
      <w:b/>
    </w:rPr>
  </w:style>
  <w:style w:type="paragraph" w:customStyle="1" w:styleId="61">
    <w:name w:val="表格居中1"/>
    <w:basedOn w:val="1"/>
    <w:autoRedefine/>
    <w:qFormat/>
    <w:uiPriority w:val="0"/>
    <w:pPr>
      <w:snapToGrid w:val="0"/>
      <w:spacing w:before="40" w:after="40"/>
      <w:jc w:val="center"/>
    </w:pPr>
    <w:rPr>
      <w:szCs w:val="20"/>
    </w:rPr>
  </w:style>
  <w:style w:type="paragraph" w:customStyle="1" w:styleId="62">
    <w:name w:val="Table Paragraph"/>
    <w:basedOn w:val="1"/>
    <w:autoRedefine/>
    <w:qFormat/>
    <w:uiPriority w:val="1"/>
    <w:rPr>
      <w:rFonts w:ascii="Arial" w:eastAsia="楷体_GB2312"/>
      <w:spacing w:val="-6"/>
      <w:kern w:val="0"/>
      <w:sz w:val="28"/>
      <w:szCs w:val="22"/>
    </w:rPr>
  </w:style>
  <w:style w:type="paragraph" w:customStyle="1" w:styleId="63">
    <w:name w:val="正文2"/>
    <w:autoRedefine/>
    <w:qFormat/>
    <w:uiPriority w:val="0"/>
    <w:pPr>
      <w:jc w:val="both"/>
    </w:pPr>
    <w:rPr>
      <w:rFonts w:ascii="Calibri" w:hAnsi="Calibri" w:eastAsia="宋体" w:cs="Calibri"/>
      <w:kern w:val="2"/>
      <w:sz w:val="21"/>
      <w:szCs w:val="21"/>
      <w:lang w:val="en-US" w:eastAsia="zh-CN" w:bidi="ar-SA"/>
    </w:rPr>
  </w:style>
  <w:style w:type="paragraph" w:customStyle="1" w:styleId="64">
    <w:name w:val="WPSOffice手动目录 1"/>
    <w:autoRedefine/>
    <w:qFormat/>
    <w:uiPriority w:val="0"/>
    <w:rPr>
      <w:rFonts w:ascii="Times New Roman" w:hAnsi="Times New Roman" w:eastAsia="宋体" w:cs="Times New Roman"/>
      <w:lang w:val="en-US" w:eastAsia="zh-CN" w:bidi="ar-SA"/>
    </w:rPr>
  </w:style>
  <w:style w:type="paragraph" w:customStyle="1" w:styleId="65">
    <w:name w:val="表标题"/>
    <w:basedOn w:val="3"/>
    <w:next w:val="1"/>
    <w:autoRedefine/>
    <w:qFormat/>
    <w:uiPriority w:val="0"/>
    <w:pPr>
      <w:jc w:val="center"/>
    </w:pPr>
    <w:rPr>
      <w:b/>
      <w:kern w:val="2"/>
      <w:sz w:val="24"/>
      <w:szCs w:val="24"/>
    </w:rPr>
  </w:style>
  <w:style w:type="paragraph" w:customStyle="1" w:styleId="66">
    <w:name w:val="小标题"/>
    <w:autoRedefine/>
    <w:qFormat/>
    <w:uiPriority w:val="0"/>
    <w:pPr>
      <w:spacing w:before="60" w:line="360" w:lineRule="auto"/>
    </w:pPr>
    <w:rPr>
      <w:rFonts w:ascii="Times New Roman" w:hAnsi="Times New Roman" w:eastAsia="宋体" w:cs="Times New Roman"/>
      <w:b/>
      <w:kern w:val="2"/>
      <w:sz w:val="24"/>
      <w:szCs w:val="24"/>
      <w:lang w:val="en-US" w:eastAsia="zh-CN" w:bidi="ar-SA"/>
    </w:rPr>
  </w:style>
  <w:style w:type="paragraph" w:customStyle="1" w:styleId="67">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68">
    <w:name w:val="大表格内正文（正文样式）"/>
    <w:basedOn w:val="16"/>
    <w:autoRedefine/>
    <w:qFormat/>
    <w:uiPriority w:val="0"/>
    <w:rPr>
      <w:b w:val="0"/>
    </w:rPr>
  </w:style>
  <w:style w:type="paragraph" w:customStyle="1" w:styleId="69">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0">
    <w:name w:val="表、图标题"/>
    <w:next w:val="1"/>
    <w:autoRedefine/>
    <w:qFormat/>
    <w:uiPriority w:val="0"/>
    <w:pPr>
      <w:spacing w:before="60"/>
      <w:jc w:val="center"/>
    </w:pPr>
    <w:rPr>
      <w:rFonts w:ascii="Times New Roman" w:hAnsi="Times New Roman" w:eastAsia="宋体" w:cs="Times New Roman"/>
      <w:b/>
      <w:kern w:val="2"/>
      <w:sz w:val="24"/>
      <w:szCs w:val="24"/>
      <w:lang w:val="en-US" w:eastAsia="zh-CN" w:bidi="ar-SA"/>
    </w:rPr>
  </w:style>
  <w:style w:type="character" w:customStyle="1" w:styleId="71">
    <w:name w:val="font51"/>
    <w:autoRedefine/>
    <w:qFormat/>
    <w:uiPriority w:val="0"/>
    <w:rPr>
      <w:rFonts w:hint="eastAsia" w:ascii="宋体" w:hAnsi="宋体" w:eastAsia="宋体"/>
      <w:b/>
      <w:bCs/>
      <w:color w:val="FF0000"/>
      <w:sz w:val="21"/>
      <w:szCs w:val="21"/>
      <w:u w:val="single"/>
    </w:rPr>
  </w:style>
  <w:style w:type="character" w:customStyle="1" w:styleId="72">
    <w:name w:val="font61"/>
    <w:autoRedefine/>
    <w:qFormat/>
    <w:uiPriority w:val="0"/>
    <w:rPr>
      <w:rFonts w:hint="default" w:ascii="Times New Roman" w:hAnsi="Times New Roman" w:cs="Times New Roman"/>
      <w:b/>
      <w:bCs/>
      <w:color w:val="FF0000"/>
      <w:sz w:val="21"/>
      <w:szCs w:val="21"/>
      <w:u w:val="single"/>
    </w:rPr>
  </w:style>
  <w:style w:type="character" w:customStyle="1" w:styleId="73">
    <w:name w:val="font01"/>
    <w:autoRedefine/>
    <w:qFormat/>
    <w:uiPriority w:val="0"/>
    <w:rPr>
      <w:rFonts w:hint="default" w:ascii="Times New Roman" w:hAnsi="Times New Roman" w:cs="Times New Roman"/>
      <w:color w:val="FF0000"/>
      <w:sz w:val="21"/>
      <w:szCs w:val="21"/>
      <w:u w:val="single"/>
      <w:vertAlign w:val="subscript"/>
    </w:rPr>
  </w:style>
  <w:style w:type="character" w:customStyle="1" w:styleId="74">
    <w:name w:val="font81"/>
    <w:autoRedefine/>
    <w:qFormat/>
    <w:uiPriority w:val="0"/>
    <w:rPr>
      <w:rFonts w:hint="default" w:ascii="Times New Roman" w:hAnsi="Times New Roman" w:cs="Times New Roman"/>
      <w:color w:val="FF0000"/>
      <w:sz w:val="21"/>
      <w:szCs w:val="21"/>
      <w:u w:val="none"/>
      <w:vertAlign w:val="subscript"/>
    </w:rPr>
  </w:style>
  <w:style w:type="character" w:customStyle="1" w:styleId="75">
    <w:name w:val="font41"/>
    <w:autoRedefine/>
    <w:qFormat/>
    <w:uiPriority w:val="0"/>
    <w:rPr>
      <w:rFonts w:hint="default" w:ascii="Times New Roman" w:hAnsi="Times New Roman" w:cs="Times New Roman"/>
      <w:color w:val="000000"/>
      <w:sz w:val="21"/>
      <w:szCs w:val="21"/>
      <w:u w:val="none"/>
      <w:vertAlign w:val="subscript"/>
    </w:rPr>
  </w:style>
  <w:style w:type="paragraph" w:customStyle="1" w:styleId="76">
    <w:name w:val="表中正文"/>
    <w:basedOn w:val="1"/>
    <w:autoRedefine/>
    <w:qFormat/>
    <w:uiPriority w:val="0"/>
    <w:pPr>
      <w:adjustRightInd w:val="0"/>
      <w:spacing w:line="360" w:lineRule="auto"/>
      <w:ind w:firstLine="200" w:firstLineChars="200"/>
      <w:jc w:val="lef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image" Target="media/image2.png"/><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2.pn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75</Pages>
  <Words>8918</Words>
  <Characters>50838</Characters>
  <Lines>423</Lines>
  <Paragraphs>119</Paragraphs>
  <TotalTime>11</TotalTime>
  <ScaleCrop>false</ScaleCrop>
  <LinksUpToDate>false</LinksUpToDate>
  <CharactersWithSpaces>59637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ss</cp:lastModifiedBy>
  <cp:lastPrinted>2022-08-04T04:42:00Z</cp:lastPrinted>
  <dcterms:modified xsi:type="dcterms:W3CDTF">2023-12-25T07:35:27Z</dcterms:modified>
  <dc:title>附件2</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8C65C8A973234B5E91CE6F07C2D8CAE1_13</vt:lpwstr>
  </property>
</Properties>
</file>